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EE3DA" w14:textId="6FB3FCC3" w:rsidR="00C4496D" w:rsidRDefault="00EB582A" w:rsidP="00EB582A">
      <w:pPr>
        <w:spacing w:before="39"/>
        <w:rPr>
          <w:b/>
          <w:sz w:val="24"/>
        </w:rPr>
      </w:pPr>
      <w:bookmarkStart w:id="0" w:name="NATIONAL_QUALITY_FORUM—Evidence_(subcrit"/>
      <w:bookmarkStart w:id="1" w:name="Instructions"/>
      <w:bookmarkStart w:id="2" w:name="1a._Evidence_to_Support_the_Measure_Focu"/>
      <w:bookmarkEnd w:id="0"/>
      <w:bookmarkEnd w:id="1"/>
      <w:bookmarkEnd w:id="2"/>
      <w:r>
        <w:rPr>
          <w:b/>
          <w:sz w:val="24"/>
        </w:rPr>
        <w:t>8</w:t>
      </w:r>
      <w:r w:rsidR="00895B79">
        <w:rPr>
          <w:b/>
          <w:sz w:val="24"/>
        </w:rPr>
        <w:t>N</w:t>
      </w:r>
      <w:r w:rsidR="00895B79">
        <w:rPr>
          <w:b/>
          <w:sz w:val="19"/>
        </w:rPr>
        <w:t xml:space="preserve">ATIONAL </w:t>
      </w:r>
      <w:r w:rsidR="00895B79">
        <w:rPr>
          <w:b/>
          <w:sz w:val="24"/>
        </w:rPr>
        <w:t>Q</w:t>
      </w:r>
      <w:r w:rsidR="00895B79">
        <w:rPr>
          <w:b/>
          <w:sz w:val="19"/>
        </w:rPr>
        <w:t xml:space="preserve">UALITY </w:t>
      </w:r>
      <w:r w:rsidR="00895B79">
        <w:rPr>
          <w:b/>
          <w:sz w:val="24"/>
        </w:rPr>
        <w:t>F</w:t>
      </w:r>
      <w:r w:rsidR="00895B79">
        <w:rPr>
          <w:b/>
          <w:sz w:val="19"/>
        </w:rPr>
        <w:t>ORUM</w:t>
      </w:r>
      <w:r w:rsidR="00895B79">
        <w:rPr>
          <w:b/>
          <w:sz w:val="24"/>
        </w:rPr>
        <w:t>—Evidence (subcriterion 1a)</w:t>
      </w:r>
    </w:p>
    <w:p w14:paraId="29882433" w14:textId="77777777" w:rsidR="00C4496D" w:rsidRDefault="00C4496D">
      <w:pPr>
        <w:pStyle w:val="BodyText"/>
        <w:spacing w:before="11"/>
        <w:rPr>
          <w:b/>
          <w:sz w:val="21"/>
        </w:rPr>
      </w:pPr>
    </w:p>
    <w:p w14:paraId="66E171B2" w14:textId="5301638E" w:rsidR="00C4496D" w:rsidRDefault="00895B79">
      <w:pPr>
        <w:ind w:left="580"/>
      </w:pPr>
      <w:r>
        <w:rPr>
          <w:b/>
        </w:rPr>
        <w:t xml:space="preserve">Measure Number </w:t>
      </w:r>
      <w:r>
        <w:t>(</w:t>
      </w:r>
      <w:r>
        <w:rPr>
          <w:i/>
        </w:rPr>
        <w:t>if previously endorsed</w:t>
      </w:r>
      <w:r>
        <w:t>)</w:t>
      </w:r>
      <w:r>
        <w:rPr>
          <w:b/>
        </w:rPr>
        <w:t xml:space="preserve">: </w:t>
      </w:r>
      <w:r w:rsidR="00B75FE5" w:rsidRPr="00B75FE5">
        <w:t>0471</w:t>
      </w:r>
    </w:p>
    <w:p w14:paraId="71D3AA34" w14:textId="62C63F5F" w:rsidR="00C4496D" w:rsidRDefault="00895B79">
      <w:pPr>
        <w:ind w:left="579"/>
      </w:pPr>
      <w:r>
        <w:rPr>
          <w:b/>
        </w:rPr>
        <w:t>Measure Title</w:t>
      </w:r>
      <w:r>
        <w:t xml:space="preserve">:  </w:t>
      </w:r>
      <w:r w:rsidR="00B75FE5">
        <w:t xml:space="preserve">PC-02 </w:t>
      </w:r>
      <w:r w:rsidRPr="00B75FE5">
        <w:t>C</w:t>
      </w:r>
      <w:r w:rsidR="00B75FE5" w:rsidRPr="00B75FE5">
        <w:t>esarean Birth</w:t>
      </w:r>
    </w:p>
    <w:p w14:paraId="60358659" w14:textId="77777777" w:rsidR="00C4496D" w:rsidRDefault="00895B79">
      <w:pPr>
        <w:ind w:left="579" w:right="1480"/>
      </w:pPr>
      <w:r>
        <w:rPr>
          <w:b/>
        </w:rPr>
        <w:t xml:space="preserve">IF the measure is a component in a composite performance measure, provide the title of the Composite Measure here: </w:t>
      </w:r>
      <w:r>
        <w:rPr>
          <w:color w:val="A7A8A7"/>
        </w:rPr>
        <w:t>Click here to enter composite measure #/ title</w:t>
      </w:r>
    </w:p>
    <w:p w14:paraId="006FEF1C" w14:textId="575A8731" w:rsidR="00C4496D" w:rsidRPr="00B75FE5" w:rsidRDefault="00895B79">
      <w:pPr>
        <w:spacing w:line="267" w:lineRule="exact"/>
        <w:ind w:left="579"/>
        <w:rPr>
          <w:color w:val="FF0000"/>
        </w:rPr>
      </w:pPr>
      <w:r>
        <w:rPr>
          <w:b/>
        </w:rPr>
        <w:t>Date of Submission</w:t>
      </w:r>
      <w:r>
        <w:t xml:space="preserve">:  </w:t>
      </w:r>
      <w:r w:rsidR="00B75FE5" w:rsidRPr="00E05D2A">
        <w:t xml:space="preserve">April </w:t>
      </w:r>
      <w:r w:rsidR="00EB582A">
        <w:t>8</w:t>
      </w:r>
      <w:r w:rsidR="00363FA4" w:rsidRPr="00E05D2A">
        <w:t xml:space="preserve">, </w:t>
      </w:r>
      <w:r w:rsidR="00B75FE5" w:rsidRPr="00E05D2A">
        <w:t>2020</w:t>
      </w:r>
    </w:p>
    <w:p w14:paraId="6134B26D" w14:textId="150CF7EA" w:rsidR="00C4496D" w:rsidRDefault="00895B79">
      <w:pPr>
        <w:pStyle w:val="BodyText"/>
        <w:spacing w:before="11"/>
        <w:rPr>
          <w:sz w:val="18"/>
        </w:rPr>
      </w:pPr>
      <w:r>
        <w:rPr>
          <w:noProof/>
        </w:rPr>
        <mc:AlternateContent>
          <mc:Choice Requires="wps">
            <w:drawing>
              <wp:anchor distT="0" distB="0" distL="0" distR="0" simplePos="0" relativeHeight="251653120" behindDoc="0" locked="0" layoutInCell="1" allowOverlap="1" wp14:anchorId="58AA7A43" wp14:editId="377B6CE2">
                <wp:simplePos x="0" y="0"/>
                <wp:positionH relativeFrom="page">
                  <wp:posOffset>620395</wp:posOffset>
                </wp:positionH>
                <wp:positionV relativeFrom="paragraph">
                  <wp:posOffset>174625</wp:posOffset>
                </wp:positionV>
                <wp:extent cx="6532245" cy="2098675"/>
                <wp:effectExtent l="10795" t="10160" r="10160" b="5715"/>
                <wp:wrapTopAndBottom/>
                <wp:docPr id="1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209867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575B725" w14:textId="77777777" w:rsidR="00567E2E" w:rsidRDefault="00567E2E">
                            <w:pPr>
                              <w:spacing w:line="268" w:lineRule="exact"/>
                              <w:ind w:left="103"/>
                              <w:rPr>
                                <w:b/>
                              </w:rPr>
                            </w:pPr>
                            <w:r>
                              <w:rPr>
                                <w:b/>
                              </w:rPr>
                              <w:t>Instructions</w:t>
                            </w:r>
                          </w:p>
                          <w:p w14:paraId="6FFFE18D" w14:textId="77777777" w:rsidR="00567E2E" w:rsidRDefault="00567E2E">
                            <w:pPr>
                              <w:pStyle w:val="ListParagraph"/>
                              <w:numPr>
                                <w:ilvl w:val="0"/>
                                <w:numId w:val="6"/>
                              </w:numPr>
                              <w:tabs>
                                <w:tab w:val="left" w:pos="463"/>
                                <w:tab w:val="left" w:pos="464"/>
                              </w:tabs>
                              <w:ind w:hanging="360"/>
                              <w:rPr>
                                <w:i/>
                              </w:rPr>
                            </w:pPr>
                            <w:r w:rsidRPr="00B75FE5">
                              <w:rPr>
                                <w:i/>
                                <w:highlight w:val="yellow"/>
                              </w:rPr>
                              <w:t>Complete 1a.1 and 1a.2 for all measures</w:t>
                            </w:r>
                            <w:r>
                              <w:rPr>
                                <w:i/>
                              </w:rPr>
                              <w:t>. If instrument-based measure, complete</w:t>
                            </w:r>
                            <w:r>
                              <w:rPr>
                                <w:i/>
                                <w:spacing w:val="-27"/>
                              </w:rPr>
                              <w:t xml:space="preserve"> </w:t>
                            </w:r>
                            <w:r>
                              <w:rPr>
                                <w:i/>
                              </w:rPr>
                              <w:t>1a.3.</w:t>
                            </w:r>
                          </w:p>
                          <w:p w14:paraId="467CD9A1" w14:textId="77777777" w:rsidR="00567E2E" w:rsidRDefault="00567E2E">
                            <w:pPr>
                              <w:pStyle w:val="ListParagraph"/>
                              <w:numPr>
                                <w:ilvl w:val="0"/>
                                <w:numId w:val="6"/>
                              </w:numPr>
                              <w:tabs>
                                <w:tab w:val="left" w:pos="463"/>
                                <w:tab w:val="left" w:pos="464"/>
                              </w:tabs>
                              <w:ind w:hanging="360"/>
                              <w:rPr>
                                <w:i/>
                              </w:rPr>
                            </w:pPr>
                            <w:r>
                              <w:rPr>
                                <w:i/>
                              </w:rPr>
                              <w:t xml:space="preserve">Complete </w:t>
                            </w:r>
                            <w:r>
                              <w:rPr>
                                <w:b/>
                                <w:i/>
                              </w:rPr>
                              <w:t xml:space="preserve">EITHER 1a.2, 1a.3 or 1a.4 </w:t>
                            </w:r>
                            <w:r>
                              <w:rPr>
                                <w:i/>
                              </w:rPr>
                              <w:t>as applicable for the type of measure and</w:t>
                            </w:r>
                            <w:r>
                              <w:rPr>
                                <w:i/>
                                <w:spacing w:val="-29"/>
                              </w:rPr>
                              <w:t xml:space="preserve"> </w:t>
                            </w:r>
                            <w:r>
                              <w:rPr>
                                <w:i/>
                              </w:rPr>
                              <w:t>evidence.</w:t>
                            </w:r>
                          </w:p>
                          <w:p w14:paraId="3EB5D59F" w14:textId="77777777" w:rsidR="00567E2E" w:rsidRDefault="00567E2E">
                            <w:pPr>
                              <w:pStyle w:val="ListParagraph"/>
                              <w:numPr>
                                <w:ilvl w:val="0"/>
                                <w:numId w:val="6"/>
                              </w:numPr>
                              <w:tabs>
                                <w:tab w:val="left" w:pos="463"/>
                                <w:tab w:val="left" w:pos="464"/>
                              </w:tabs>
                              <w:ind w:hanging="360"/>
                              <w:rPr>
                                <w:i/>
                              </w:rPr>
                            </w:pPr>
                            <w:r>
                              <w:rPr>
                                <w:i/>
                              </w:rPr>
                              <w:t>For composite performance</w:t>
                            </w:r>
                            <w:r>
                              <w:rPr>
                                <w:i/>
                                <w:spacing w:val="-13"/>
                              </w:rPr>
                              <w:t xml:space="preserve"> </w:t>
                            </w:r>
                            <w:r>
                              <w:rPr>
                                <w:i/>
                              </w:rPr>
                              <w:t>measures:</w:t>
                            </w:r>
                          </w:p>
                          <w:p w14:paraId="60D11053" w14:textId="77777777" w:rsidR="00567E2E" w:rsidRDefault="00567E2E">
                            <w:pPr>
                              <w:pStyle w:val="ListParagraph"/>
                              <w:numPr>
                                <w:ilvl w:val="1"/>
                                <w:numId w:val="6"/>
                              </w:numPr>
                              <w:tabs>
                                <w:tab w:val="left" w:pos="945"/>
                                <w:tab w:val="left" w:pos="946"/>
                              </w:tabs>
                              <w:spacing w:before="5" w:line="235" w:lineRule="auto"/>
                              <w:ind w:right="488" w:hanging="360"/>
                              <w:rPr>
                                <w:i/>
                              </w:rPr>
                            </w:pPr>
                            <w:r>
                              <w:rPr>
                                <w:i/>
                              </w:rPr>
                              <w:t>A separate evidence form is required for each component measure unless several components were studied</w:t>
                            </w:r>
                            <w:r>
                              <w:rPr>
                                <w:i/>
                                <w:spacing w:val="-4"/>
                              </w:rPr>
                              <w:t xml:space="preserve"> </w:t>
                            </w:r>
                            <w:r>
                              <w:rPr>
                                <w:i/>
                              </w:rPr>
                              <w:t>together.</w:t>
                            </w:r>
                          </w:p>
                          <w:p w14:paraId="4F6C18A4" w14:textId="77777777" w:rsidR="00567E2E" w:rsidRDefault="00567E2E">
                            <w:pPr>
                              <w:pStyle w:val="ListParagraph"/>
                              <w:numPr>
                                <w:ilvl w:val="1"/>
                                <w:numId w:val="6"/>
                              </w:numPr>
                              <w:tabs>
                                <w:tab w:val="left" w:pos="945"/>
                                <w:tab w:val="left" w:pos="946"/>
                              </w:tabs>
                              <w:spacing w:before="3" w:line="235" w:lineRule="auto"/>
                              <w:ind w:right="231" w:hanging="360"/>
                              <w:rPr>
                                <w:i/>
                              </w:rPr>
                            </w:pPr>
                            <w:r>
                              <w:rPr>
                                <w:i/>
                              </w:rPr>
                              <w:t>If a component measure is submitted as an individual performance measure, attach the evidence form to the individual measure</w:t>
                            </w:r>
                            <w:r>
                              <w:rPr>
                                <w:i/>
                                <w:spacing w:val="-14"/>
                              </w:rPr>
                              <w:t xml:space="preserve"> </w:t>
                            </w:r>
                            <w:r>
                              <w:rPr>
                                <w:i/>
                              </w:rPr>
                              <w:t>submission.</w:t>
                            </w:r>
                          </w:p>
                          <w:p w14:paraId="00FA3947" w14:textId="77777777" w:rsidR="00567E2E" w:rsidRDefault="00567E2E">
                            <w:pPr>
                              <w:pStyle w:val="ListParagraph"/>
                              <w:numPr>
                                <w:ilvl w:val="0"/>
                                <w:numId w:val="6"/>
                              </w:numPr>
                              <w:tabs>
                                <w:tab w:val="left" w:pos="463"/>
                                <w:tab w:val="left" w:pos="464"/>
                              </w:tabs>
                              <w:ind w:right="529" w:hanging="360"/>
                            </w:pPr>
                            <w:r>
                              <w:t xml:space="preserve">All information needed to demonstrate meeting the evidence subcriterion (1a) must be in this form. An appendix of </w:t>
                            </w:r>
                            <w:r>
                              <w:rPr>
                                <w:i/>
                              </w:rPr>
                              <w:t xml:space="preserve">supplemental </w:t>
                            </w:r>
                            <w:r>
                              <w:t>materials may be submitted, but there is no guarantee it will be</w:t>
                            </w:r>
                            <w:r>
                              <w:rPr>
                                <w:spacing w:val="-35"/>
                              </w:rPr>
                              <w:t xml:space="preserve"> </w:t>
                            </w:r>
                            <w:r>
                              <w:t>reviewed.</w:t>
                            </w:r>
                          </w:p>
                          <w:p w14:paraId="1A740946" w14:textId="77777777" w:rsidR="00567E2E" w:rsidRDefault="00567E2E">
                            <w:pPr>
                              <w:pStyle w:val="ListParagraph"/>
                              <w:numPr>
                                <w:ilvl w:val="0"/>
                                <w:numId w:val="6"/>
                              </w:numPr>
                              <w:tabs>
                                <w:tab w:val="left" w:pos="463"/>
                                <w:tab w:val="left" w:pos="464"/>
                              </w:tabs>
                              <w:ind w:hanging="360"/>
                            </w:pPr>
                            <w:r>
                              <w:t>If you are unable to check a box, please highlight or shade the box for your</w:t>
                            </w:r>
                            <w:r>
                              <w:rPr>
                                <w:spacing w:val="-25"/>
                              </w:rPr>
                              <w:t xml:space="preserve"> </w:t>
                            </w:r>
                            <w:r>
                              <w:t>response.</w:t>
                            </w:r>
                          </w:p>
                          <w:p w14:paraId="709489E9" w14:textId="1DA9D522" w:rsidR="00567E2E" w:rsidRDefault="00567E2E">
                            <w:pPr>
                              <w:pStyle w:val="ListParagraph"/>
                              <w:numPr>
                                <w:ilvl w:val="0"/>
                                <w:numId w:val="6"/>
                              </w:numPr>
                              <w:tabs>
                                <w:tab w:val="left" w:pos="463"/>
                                <w:tab w:val="left" w:pos="464"/>
                              </w:tabs>
                              <w:ind w:hanging="360"/>
                            </w:pPr>
                            <w:r>
                              <w:t>Contact NQF staff regarding questions. Check for resources at</w:t>
                            </w:r>
                            <w:r>
                              <w:rPr>
                                <w:color w:val="0000FF"/>
                              </w:rPr>
                              <w:t xml:space="preserve"> </w:t>
                            </w:r>
                            <w:hyperlink r:id="rId10">
                              <w:r>
                                <w:rPr>
                                  <w:color w:val="0000FF"/>
                                  <w:u w:val="single" w:color="0000FF"/>
                                </w:rPr>
                                <w:t>Submitting Standards</w:t>
                              </w:r>
                              <w:r>
                                <w:rPr>
                                  <w:color w:val="0000FF"/>
                                  <w:spacing w:val="-36"/>
                                  <w:u w:val="single" w:color="0000FF"/>
                                </w:rPr>
                                <w:t xml:space="preserve">  </w:t>
                              </w:r>
                              <w:r>
                                <w:rPr>
                                  <w:color w:val="0000FF"/>
                                  <w:u w:val="single" w:color="0000FF"/>
                                </w:rPr>
                                <w:t>webpage</w:t>
                              </w:r>
                              <w:r>
                                <w:t>.</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AA7A43" id="_x0000_t202" coordsize="21600,21600" o:spt="202" path="m,l,21600r21600,l21600,xe">
                <v:stroke joinstyle="miter"/>
                <v:path gradientshapeok="t" o:connecttype="rect"/>
              </v:shapetype>
              <v:shape id="Text Box 15" o:spid="_x0000_s1026" type="#_x0000_t202" style="position:absolute;margin-left:48.85pt;margin-top:13.75pt;width:514.35pt;height:165.2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0kDhgIAABsFAAAOAAAAZHJzL2Uyb0RvYy54bWysVG1vmzAQ/j5p/8Hy9xRICU1QSJWFZJrU&#10;vUjtfoBjm2DN2Mx2At20/76zCWm7fpmm8cEc3Pm5e87PeXnbNxKduLFCqwInVzFGXFHNhDoU+OvD&#10;bjLHyDqiGJFa8QI/cotvV2/fLLs251Nda8m4QQCibN61Ba6da/MosrTmDbFXuuUKnJU2DXHwaQ4R&#10;M6QD9EZG0zjOok4b1hpNubXwtxyceBXwq4pT97mqLHdIFhhqc2E1Yd37NVotSX4wpK0FPZdB/qGK&#10;hggFSS9QJXEEHY14BdUIarTVlbuiuol0VQnKAwdgk8R/sLmvScsDF2iObS9tsv8Pln46fTFIMDi7&#10;DCNFGjijB9479E73KJn5/nStzSHsvoVA18N/iA1cbXun6TeLlN7URB342hjd1ZwwqC/xO6NnWwcc&#10;60H23UfNIA85Oh2A+so0vnnQDgTocE6Pl7PxtVD4mc2up9N0hhEF3zRezLObUF1E8nF7a6x7z3WD&#10;vFFgA4cf4MnpzjpfDsnHEJ9N6Z2QMghAKtRBiniRDcS0FMw7fZg1h/1GGnQiXkLhCdzA8zzMI5fE&#10;1kNccA3iaoQDhUvRFHh+2U1y36etYiG9I0IONpQolc8KtKHoszUo6eciXmzn23k6SafZdpLGZTlZ&#10;7zbpJNslN7PyutxsyuSXJ5CkeS0Y48pzGFWdpH+nmvN8DXq86PoF1xct2YXndUuil2WE9gOr8R3Y&#10;BYF4TQzqcP2+h4Z41ew1ewSpGD1MLNwwYNTa/MCog2ktsP1+JIZjJD8okJsf7dEwo7EfDaIobC2w&#10;w2gwN264Ao6tEYcakAdBK70GSVYiiOWpirOQYQJD8efbwo/48+8Q9XSnrX4DAAD//wMAUEsDBBQA&#10;BgAIAAAAIQDekbod3wAAAAoBAAAPAAAAZHJzL2Rvd25yZXYueG1sTI9BT4NAFITvJv6HzTPxZpei&#10;FKQ8GmPaiwcTan/Aln0FlH1L2G3Bf+/2ZI+Tmcx8U2xm04sLja6zjLBcRCCIa6s7bhAOX7unDITz&#10;irXqLRPCLznYlPd3hcq1nbiiy943IpSwyxVC6/2QS+nqloxyCzsQB+9kR6N8kGMj9aimUG56GUfR&#10;ShrVcVho1UDvLdU/+7NBoOq7s3aXTdXgm8OH2ybJ9jNBfHyY39YgPM3+PwxX/IAOZWA62jNrJ3qE&#10;1zQNSYQ4TUBc/WW8egFxRHhOsghkWcjbC+UfAAAA//8DAFBLAQItABQABgAIAAAAIQC2gziS/gAA&#10;AOEBAAATAAAAAAAAAAAAAAAAAAAAAABbQ29udGVudF9UeXBlc10ueG1sUEsBAi0AFAAGAAgAAAAh&#10;ADj9If/WAAAAlAEAAAsAAAAAAAAAAAAAAAAALwEAAF9yZWxzLy5yZWxzUEsBAi0AFAAGAAgAAAAh&#10;AEr3SQOGAgAAGwUAAA4AAAAAAAAAAAAAAAAALgIAAGRycy9lMm9Eb2MueG1sUEsBAi0AFAAGAAgA&#10;AAAhAN6Ruh3fAAAACgEAAA8AAAAAAAAAAAAAAAAA4AQAAGRycy9kb3ducmV2LnhtbFBLBQYAAAAA&#10;BAAEAPMAAADsBQAAAAA=&#10;" filled="f" strokeweight=".48pt">
                <v:textbox inset="0,0,0,0">
                  <w:txbxContent>
                    <w:p w14:paraId="6575B725" w14:textId="77777777" w:rsidR="00567E2E" w:rsidRDefault="00567E2E">
                      <w:pPr>
                        <w:spacing w:line="268" w:lineRule="exact"/>
                        <w:ind w:left="103"/>
                        <w:rPr>
                          <w:b/>
                        </w:rPr>
                      </w:pPr>
                      <w:r>
                        <w:rPr>
                          <w:b/>
                        </w:rPr>
                        <w:t>Instructions</w:t>
                      </w:r>
                    </w:p>
                    <w:p w14:paraId="6FFFE18D" w14:textId="77777777" w:rsidR="00567E2E" w:rsidRDefault="00567E2E">
                      <w:pPr>
                        <w:pStyle w:val="ListParagraph"/>
                        <w:numPr>
                          <w:ilvl w:val="0"/>
                          <w:numId w:val="6"/>
                        </w:numPr>
                        <w:tabs>
                          <w:tab w:val="left" w:pos="463"/>
                          <w:tab w:val="left" w:pos="464"/>
                        </w:tabs>
                        <w:ind w:hanging="360"/>
                        <w:rPr>
                          <w:i/>
                        </w:rPr>
                      </w:pPr>
                      <w:r w:rsidRPr="00B75FE5">
                        <w:rPr>
                          <w:i/>
                          <w:highlight w:val="yellow"/>
                        </w:rPr>
                        <w:t>Complete 1a.1 and 1a.2 for all measures</w:t>
                      </w:r>
                      <w:r>
                        <w:rPr>
                          <w:i/>
                        </w:rPr>
                        <w:t>. If instrument-based measure, complete</w:t>
                      </w:r>
                      <w:r>
                        <w:rPr>
                          <w:i/>
                          <w:spacing w:val="-27"/>
                        </w:rPr>
                        <w:t xml:space="preserve"> </w:t>
                      </w:r>
                      <w:r>
                        <w:rPr>
                          <w:i/>
                        </w:rPr>
                        <w:t>1a.3.</w:t>
                      </w:r>
                    </w:p>
                    <w:p w14:paraId="467CD9A1" w14:textId="77777777" w:rsidR="00567E2E" w:rsidRDefault="00567E2E">
                      <w:pPr>
                        <w:pStyle w:val="ListParagraph"/>
                        <w:numPr>
                          <w:ilvl w:val="0"/>
                          <w:numId w:val="6"/>
                        </w:numPr>
                        <w:tabs>
                          <w:tab w:val="left" w:pos="463"/>
                          <w:tab w:val="left" w:pos="464"/>
                        </w:tabs>
                        <w:ind w:hanging="360"/>
                        <w:rPr>
                          <w:i/>
                        </w:rPr>
                      </w:pPr>
                      <w:r>
                        <w:rPr>
                          <w:i/>
                        </w:rPr>
                        <w:t xml:space="preserve">Complete </w:t>
                      </w:r>
                      <w:r>
                        <w:rPr>
                          <w:b/>
                          <w:i/>
                        </w:rPr>
                        <w:t xml:space="preserve">EITHER 1a.2, 1a.3 or 1a.4 </w:t>
                      </w:r>
                      <w:r>
                        <w:rPr>
                          <w:i/>
                        </w:rPr>
                        <w:t>as applicable for the type of measure and</w:t>
                      </w:r>
                      <w:r>
                        <w:rPr>
                          <w:i/>
                          <w:spacing w:val="-29"/>
                        </w:rPr>
                        <w:t xml:space="preserve"> </w:t>
                      </w:r>
                      <w:r>
                        <w:rPr>
                          <w:i/>
                        </w:rPr>
                        <w:t>evidence.</w:t>
                      </w:r>
                    </w:p>
                    <w:p w14:paraId="3EB5D59F" w14:textId="77777777" w:rsidR="00567E2E" w:rsidRDefault="00567E2E">
                      <w:pPr>
                        <w:pStyle w:val="ListParagraph"/>
                        <w:numPr>
                          <w:ilvl w:val="0"/>
                          <w:numId w:val="6"/>
                        </w:numPr>
                        <w:tabs>
                          <w:tab w:val="left" w:pos="463"/>
                          <w:tab w:val="left" w:pos="464"/>
                        </w:tabs>
                        <w:ind w:hanging="360"/>
                        <w:rPr>
                          <w:i/>
                        </w:rPr>
                      </w:pPr>
                      <w:r>
                        <w:rPr>
                          <w:i/>
                        </w:rPr>
                        <w:t>For composite performance</w:t>
                      </w:r>
                      <w:r>
                        <w:rPr>
                          <w:i/>
                          <w:spacing w:val="-13"/>
                        </w:rPr>
                        <w:t xml:space="preserve"> </w:t>
                      </w:r>
                      <w:r>
                        <w:rPr>
                          <w:i/>
                        </w:rPr>
                        <w:t>measures:</w:t>
                      </w:r>
                    </w:p>
                    <w:p w14:paraId="60D11053" w14:textId="77777777" w:rsidR="00567E2E" w:rsidRDefault="00567E2E">
                      <w:pPr>
                        <w:pStyle w:val="ListParagraph"/>
                        <w:numPr>
                          <w:ilvl w:val="1"/>
                          <w:numId w:val="6"/>
                        </w:numPr>
                        <w:tabs>
                          <w:tab w:val="left" w:pos="945"/>
                          <w:tab w:val="left" w:pos="946"/>
                        </w:tabs>
                        <w:spacing w:before="5" w:line="235" w:lineRule="auto"/>
                        <w:ind w:right="488" w:hanging="360"/>
                        <w:rPr>
                          <w:i/>
                        </w:rPr>
                      </w:pPr>
                      <w:r>
                        <w:rPr>
                          <w:i/>
                        </w:rPr>
                        <w:t>A separate evidence form is required for each component measure unless several components were studied</w:t>
                      </w:r>
                      <w:r>
                        <w:rPr>
                          <w:i/>
                          <w:spacing w:val="-4"/>
                        </w:rPr>
                        <w:t xml:space="preserve"> </w:t>
                      </w:r>
                      <w:r>
                        <w:rPr>
                          <w:i/>
                        </w:rPr>
                        <w:t>together.</w:t>
                      </w:r>
                    </w:p>
                    <w:p w14:paraId="4F6C18A4" w14:textId="77777777" w:rsidR="00567E2E" w:rsidRDefault="00567E2E">
                      <w:pPr>
                        <w:pStyle w:val="ListParagraph"/>
                        <w:numPr>
                          <w:ilvl w:val="1"/>
                          <w:numId w:val="6"/>
                        </w:numPr>
                        <w:tabs>
                          <w:tab w:val="left" w:pos="945"/>
                          <w:tab w:val="left" w:pos="946"/>
                        </w:tabs>
                        <w:spacing w:before="3" w:line="235" w:lineRule="auto"/>
                        <w:ind w:right="231" w:hanging="360"/>
                        <w:rPr>
                          <w:i/>
                        </w:rPr>
                      </w:pPr>
                      <w:r>
                        <w:rPr>
                          <w:i/>
                        </w:rPr>
                        <w:t>If a component measure is submitted as an individual performance measure, attach the evidence form to the individual measure</w:t>
                      </w:r>
                      <w:r>
                        <w:rPr>
                          <w:i/>
                          <w:spacing w:val="-14"/>
                        </w:rPr>
                        <w:t xml:space="preserve"> </w:t>
                      </w:r>
                      <w:r>
                        <w:rPr>
                          <w:i/>
                        </w:rPr>
                        <w:t>submission.</w:t>
                      </w:r>
                    </w:p>
                    <w:p w14:paraId="00FA3947" w14:textId="77777777" w:rsidR="00567E2E" w:rsidRDefault="00567E2E">
                      <w:pPr>
                        <w:pStyle w:val="ListParagraph"/>
                        <w:numPr>
                          <w:ilvl w:val="0"/>
                          <w:numId w:val="6"/>
                        </w:numPr>
                        <w:tabs>
                          <w:tab w:val="left" w:pos="463"/>
                          <w:tab w:val="left" w:pos="464"/>
                        </w:tabs>
                        <w:ind w:right="529" w:hanging="360"/>
                      </w:pPr>
                      <w:r>
                        <w:t xml:space="preserve">All information needed to demonstrate meeting the evidence </w:t>
                      </w:r>
                      <w:proofErr w:type="spellStart"/>
                      <w:r>
                        <w:t>subcriterion</w:t>
                      </w:r>
                      <w:proofErr w:type="spellEnd"/>
                      <w:r>
                        <w:t xml:space="preserve"> (1a) must be in this form. An appendix of </w:t>
                      </w:r>
                      <w:r>
                        <w:rPr>
                          <w:i/>
                        </w:rPr>
                        <w:t xml:space="preserve">supplemental </w:t>
                      </w:r>
                      <w:r>
                        <w:t>materials may be submitted, but there is no guarantee it will be</w:t>
                      </w:r>
                      <w:r>
                        <w:rPr>
                          <w:spacing w:val="-35"/>
                        </w:rPr>
                        <w:t xml:space="preserve"> </w:t>
                      </w:r>
                      <w:r>
                        <w:t>reviewed.</w:t>
                      </w:r>
                    </w:p>
                    <w:p w14:paraId="1A740946" w14:textId="77777777" w:rsidR="00567E2E" w:rsidRDefault="00567E2E">
                      <w:pPr>
                        <w:pStyle w:val="ListParagraph"/>
                        <w:numPr>
                          <w:ilvl w:val="0"/>
                          <w:numId w:val="6"/>
                        </w:numPr>
                        <w:tabs>
                          <w:tab w:val="left" w:pos="463"/>
                          <w:tab w:val="left" w:pos="464"/>
                        </w:tabs>
                        <w:ind w:hanging="360"/>
                      </w:pPr>
                      <w:r>
                        <w:t>If you are unable to check a box, please highlight or shade the box for your</w:t>
                      </w:r>
                      <w:r>
                        <w:rPr>
                          <w:spacing w:val="-25"/>
                        </w:rPr>
                        <w:t xml:space="preserve"> </w:t>
                      </w:r>
                      <w:r>
                        <w:t>response.</w:t>
                      </w:r>
                    </w:p>
                    <w:p w14:paraId="709489E9" w14:textId="1DA9D522" w:rsidR="00567E2E" w:rsidRDefault="00567E2E">
                      <w:pPr>
                        <w:pStyle w:val="ListParagraph"/>
                        <w:numPr>
                          <w:ilvl w:val="0"/>
                          <w:numId w:val="6"/>
                        </w:numPr>
                        <w:tabs>
                          <w:tab w:val="left" w:pos="463"/>
                          <w:tab w:val="left" w:pos="464"/>
                        </w:tabs>
                        <w:ind w:hanging="360"/>
                      </w:pPr>
                      <w:r>
                        <w:t>Contact NQF staff regarding questions. Check for resources at</w:t>
                      </w:r>
                      <w:r>
                        <w:rPr>
                          <w:color w:val="0000FF"/>
                        </w:rPr>
                        <w:t xml:space="preserve"> </w:t>
                      </w:r>
                      <w:hyperlink r:id="rId11">
                        <w:r>
                          <w:rPr>
                            <w:color w:val="0000FF"/>
                            <w:u w:val="single" w:color="0000FF"/>
                          </w:rPr>
                          <w:t>Submitting Standards</w:t>
                        </w:r>
                        <w:r>
                          <w:rPr>
                            <w:color w:val="0000FF"/>
                            <w:spacing w:val="-36"/>
                            <w:u w:val="single" w:color="0000FF"/>
                          </w:rPr>
                          <w:t xml:space="preserve">  </w:t>
                        </w:r>
                        <w:r>
                          <w:rPr>
                            <w:color w:val="0000FF"/>
                            <w:u w:val="single" w:color="0000FF"/>
                          </w:rPr>
                          <w:t>webpage</w:t>
                        </w:r>
                        <w:r>
                          <w:t>.</w:t>
                        </w:r>
                      </w:hyperlink>
                    </w:p>
                  </w:txbxContent>
                </v:textbox>
                <w10:wrap type="topAndBottom" anchorx="page"/>
              </v:shape>
            </w:pict>
          </mc:Fallback>
        </mc:AlternateContent>
      </w:r>
    </w:p>
    <w:p w14:paraId="3DADF4B6" w14:textId="77777777" w:rsidR="00C4496D" w:rsidRDefault="00C4496D">
      <w:pPr>
        <w:pStyle w:val="BodyText"/>
        <w:spacing w:before="8"/>
        <w:rPr>
          <w:sz w:val="15"/>
        </w:rPr>
      </w:pPr>
    </w:p>
    <w:p w14:paraId="5591CBBF" w14:textId="3A210FDA" w:rsidR="00C4496D" w:rsidRDefault="00895B79">
      <w:pPr>
        <w:pStyle w:val="Heading3"/>
        <w:spacing w:before="59"/>
        <w:ind w:right="894"/>
        <w:rPr>
          <w:u w:val="none"/>
        </w:rPr>
      </w:pPr>
      <w:r>
        <w:rPr>
          <w:noProof/>
        </w:rPr>
        <mc:AlternateContent>
          <mc:Choice Requires="wpg">
            <w:drawing>
              <wp:anchor distT="0" distB="0" distL="114300" distR="114300" simplePos="0" relativeHeight="251660288" behindDoc="1" locked="0" layoutInCell="1" allowOverlap="1" wp14:anchorId="1F21411F" wp14:editId="2539EC0A">
                <wp:simplePos x="0" y="0"/>
                <wp:positionH relativeFrom="page">
                  <wp:posOffset>617220</wp:posOffset>
                </wp:positionH>
                <wp:positionV relativeFrom="paragraph">
                  <wp:posOffset>27305</wp:posOffset>
                </wp:positionV>
                <wp:extent cx="6538595" cy="4404995"/>
                <wp:effectExtent l="7620" t="3175" r="6985" b="1905"/>
                <wp:wrapNone/>
                <wp:docPr id="1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8595" cy="4404995"/>
                          <a:chOff x="972" y="43"/>
                          <a:chExt cx="10297" cy="6937"/>
                        </a:xfrm>
                      </wpg:grpSpPr>
                      <wps:wsp>
                        <wps:cNvPr id="12" name="Line 14"/>
                        <wps:cNvCnPr>
                          <a:cxnSpLocks noChangeShapeType="1"/>
                        </wps:cNvCnPr>
                        <wps:spPr bwMode="auto">
                          <a:xfrm>
                            <a:off x="982" y="53"/>
                            <a:ext cx="10276"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Line 13"/>
                        <wps:cNvCnPr>
                          <a:cxnSpLocks noChangeShapeType="1"/>
                        </wps:cNvCnPr>
                        <wps:spPr bwMode="auto">
                          <a:xfrm>
                            <a:off x="977" y="48"/>
                            <a:ext cx="0" cy="6926"/>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Line 12"/>
                        <wps:cNvCnPr>
                          <a:cxnSpLocks noChangeShapeType="1"/>
                        </wps:cNvCnPr>
                        <wps:spPr bwMode="auto">
                          <a:xfrm>
                            <a:off x="982" y="6969"/>
                            <a:ext cx="10276"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1"/>
                        <wps:cNvCnPr>
                          <a:cxnSpLocks noChangeShapeType="1"/>
                        </wps:cNvCnPr>
                        <wps:spPr bwMode="auto">
                          <a:xfrm>
                            <a:off x="11263" y="48"/>
                            <a:ext cx="0" cy="6926"/>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78EAC22" id="Group 10" o:spid="_x0000_s1026" style="position:absolute;margin-left:48.6pt;margin-top:2.15pt;width:514.85pt;height:346.85pt;z-index:-251656192;mso-position-horizontal-relative:page" coordorigin="972,43" coordsize="10297,6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vR0BQMAAL8NAAAOAAAAZHJzL2Uyb0RvYy54bWzsV8tu2zAQvBfoPxC6O3pYli0hdlBYdi5p&#10;ayDpB9AU9UAlUiAZy0bRf++SlJwoPbRIkQApkoNCaper3Znhmry8OjY1OlAhK86Wjn/hOYgywrOK&#10;FUvn2912snCQVJhluOaMLp0Tlc7V6uOHy65NaMBLXmdUIAjCZNK1S6dUqk1cV5KSNlhe8JYyMOZc&#10;NFjBVBRuJnAH0ZvaDTwvcjsuslZwQqWEt6k1OisTP88pUV/zXFKF6qUDuSnzFOa51093dYmTQuC2&#10;rEifBn5GFg2uGHz0HCrFCqN7Uf0WqqmI4JLn6oLwxuV5XhFqaoBqfO9JNdeC37emliLpivYME0D7&#10;BKdnhyVfDjuBqgy48x3EcAMcmc8i34DTtUUCPteivW13wlYIwxtOvkvAzn1q1/PCOqN995lnEA/f&#10;K27AOeai0SGgbHQ0HJzOHNCjQgReRrPpYhbPHETAFoZeGMPEsERKoFKvi+eBg7R1Ohg2/WLfC+K5&#10;XRrF07k2uzixnzWp9qlpeYDe5AOk8t8gvS1xSw1TUsM1QAp5WkhvKkaRH+qE9JfBZc0snOTIejgR&#10;4+sSs4KaYHenFqDzTQmjJXoigYs/whsvLEyzHqYBYQBpHlmQDMVnhHDSCqmuKW+QHiydGrI2xOHD&#10;jVQWzMFF88j4tqprQ07NUAfk+V5sFkheV5k2ajcpiv26FuiA9SY0fz0zIzcdOcWytH7GpN1wAruA&#10;ZWZUUpxt+rHCVW3HUEDNtCNUCHn2I7v9fsRevFlsFuEkDKLNJPTSdPJpuw4n0dafz9Jpul6n/k+d&#10;sx8mZZVllOm0h1bgh3+ni74p2U18bgZnfNxxdKNKSHb4b5IGfVpirUT2PDvthMZcvwepvpZmp2PN&#10;GvGMBIiTF9TsHLav3toLS/2gWWjduh9EcRD10hl6yaDHZ0vWi6N3yb5tyYZjyQZaIq8n2b7NRnEU&#10;j0X7ko32XbVwWnrbqoUzzuPDgfmpfzXV+n4QQad/b7X/zenAnG/hlmAOFf2NRl9DHs/NaeLh3rX6&#10;BQAA//8DAFBLAwQUAAYACAAAACEAWv4g9eAAAAAJAQAADwAAAGRycy9kb3ducmV2LnhtbEyPQWuD&#10;QBSE74X+h+UVemtWTWujcQ0htD2FQpNCye1FX1TivhV3o+bfd3Nqj8MMM99kq0m3YqDeNoYVhLMA&#10;BHFhyoYrBd/796cFCOuQS2wNk4IrWVjl93cZpqUZ+YuGnauEL2GbooLauS6V0hY1abQz0xF772R6&#10;jc7LvpJlj6Mv162MgiCWGhv2CzV2tKmpOO8uWsHHiON6Hr4N2/Npcz3sXz5/tiEp9fgwrZcgHE3u&#10;Lww3fI8OuWc6mguXVrQKktfIJxU8z0Hc7DCKExBHBXGyCEDmmfz/IP8FAAD//wMAUEsBAi0AFAAG&#10;AAgAAAAhALaDOJL+AAAA4QEAABMAAAAAAAAAAAAAAAAAAAAAAFtDb250ZW50X1R5cGVzXS54bWxQ&#10;SwECLQAUAAYACAAAACEAOP0h/9YAAACUAQAACwAAAAAAAAAAAAAAAAAvAQAAX3JlbHMvLnJlbHNQ&#10;SwECLQAUAAYACAAAACEAq970dAUDAAC/DQAADgAAAAAAAAAAAAAAAAAuAgAAZHJzL2Uyb0RvYy54&#10;bWxQSwECLQAUAAYACAAAACEAWv4g9eAAAAAJAQAADwAAAAAAAAAAAAAAAABfBQAAZHJzL2Rvd25y&#10;ZXYueG1sUEsFBgAAAAAEAAQA8wAAAGwGAAAAAA==&#10;">
                <v:line id="Line 14" o:spid="_x0000_s1027" style="position:absolute;visibility:visible;mso-wrap-style:square" from="982,53" to="112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3FSwwAAANsAAAAPAAAAZHJzL2Rvd25yZXYueG1sRE9LawIx&#10;EL4L/Q9hCr2Im1XEytYoRbDoRdE+6HHYzD7sZrIkUdf++kYQepuP7zmzRWcacSbna8sKhkkKgji3&#10;uuZSwcf7ajAF4QOyxsYyKbiSh8X8oTfDTNsL7+l8CKWIIewzVFCF0GZS+rwigz6xLXHkCusMhghd&#10;KbXDSww3jRyl6UQarDk2VNjSsqL853AyCvKv/nOxOe7w19XDz/B9lOO3baHU02P3+gIiUBf+xXf3&#10;Wsf5I7j9Eg+Q8z8AAAD//wMAUEsBAi0AFAAGAAgAAAAhANvh9svuAAAAhQEAABMAAAAAAAAAAAAA&#10;AAAAAAAAAFtDb250ZW50X1R5cGVzXS54bWxQSwECLQAUAAYACAAAACEAWvQsW78AAAAVAQAACwAA&#10;AAAAAAAAAAAAAAAfAQAAX3JlbHMvLnJlbHNQSwECLQAUAAYACAAAACEA+jdxUsMAAADbAAAADwAA&#10;AAAAAAAAAAAAAAAHAgAAZHJzL2Rvd25yZXYueG1sUEsFBgAAAAADAAMAtwAAAPcCAAAAAA==&#10;" strokeweight=".16969mm"/>
                <v:line id="Line 13" o:spid="_x0000_s1028" style="position:absolute;visibility:visible;mso-wrap-style:square" from="977,48" to="977,6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29" style="position:absolute;visibility:visible;mso-wrap-style:square" from="982,6969" to="11258,6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11" o:spid="_x0000_s1030" style="position:absolute;visibility:visible;mso-wrap-style:square" from="11263,48" to="11263,6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w10:wrap anchorx="page"/>
              </v:group>
            </w:pict>
          </mc:Fallback>
        </mc:AlternateContent>
      </w:r>
      <w:r>
        <w:t>Note</w:t>
      </w:r>
      <w:r>
        <w:rPr>
          <w:u w:val="none"/>
        </w:rPr>
        <w:t>: The information provided in this form is intended to aid the Standing Committee and other stakeholders in understanding to what degree the evidence for this measure meets NQF’s evaluation criteria.</w:t>
      </w:r>
    </w:p>
    <w:p w14:paraId="5542523A" w14:textId="77777777" w:rsidR="00C4496D" w:rsidRDefault="00C4496D">
      <w:pPr>
        <w:pStyle w:val="BodyText"/>
        <w:rPr>
          <w:b/>
        </w:rPr>
      </w:pPr>
    </w:p>
    <w:p w14:paraId="6C594DDD" w14:textId="77777777" w:rsidR="00C4496D" w:rsidRDefault="00895B79">
      <w:pPr>
        <w:spacing w:line="243" w:lineRule="exact"/>
        <w:ind w:left="224"/>
        <w:rPr>
          <w:b/>
          <w:sz w:val="20"/>
        </w:rPr>
      </w:pPr>
      <w:r>
        <w:rPr>
          <w:b/>
          <w:sz w:val="20"/>
        </w:rPr>
        <w:t>1a. Evidence to Support the Measure Focus</w:t>
      </w:r>
    </w:p>
    <w:p w14:paraId="390D0C79" w14:textId="77777777" w:rsidR="00C4496D" w:rsidRDefault="00895B79">
      <w:pPr>
        <w:pStyle w:val="BodyText"/>
        <w:spacing w:line="243" w:lineRule="exact"/>
        <w:ind w:left="224"/>
      </w:pPr>
      <w:r>
        <w:t>The measure focus is evidence-based, demonstrated as follows:</w:t>
      </w:r>
    </w:p>
    <w:p w14:paraId="44A45B18" w14:textId="64F85B18" w:rsidR="00C4496D" w:rsidRDefault="00895B79">
      <w:pPr>
        <w:pStyle w:val="ListParagraph"/>
        <w:numPr>
          <w:ilvl w:val="0"/>
          <w:numId w:val="5"/>
        </w:numPr>
        <w:tabs>
          <w:tab w:val="left" w:pos="441"/>
        </w:tabs>
        <w:ind w:right="400" w:hanging="216"/>
        <w:rPr>
          <w:sz w:val="20"/>
        </w:rPr>
      </w:pPr>
      <w:r>
        <w:rPr>
          <w:noProof/>
        </w:rPr>
        <mc:AlternateContent>
          <mc:Choice Requires="wps">
            <w:drawing>
              <wp:anchor distT="0" distB="0" distL="114300" distR="114300" simplePos="0" relativeHeight="251654144" behindDoc="1" locked="0" layoutInCell="1" allowOverlap="1" wp14:anchorId="59CC0180" wp14:editId="5054EC41">
                <wp:simplePos x="0" y="0"/>
                <wp:positionH relativeFrom="page">
                  <wp:posOffset>1367155</wp:posOffset>
                </wp:positionH>
                <wp:positionV relativeFrom="paragraph">
                  <wp:posOffset>95885</wp:posOffset>
                </wp:positionV>
                <wp:extent cx="41275" cy="0"/>
                <wp:effectExtent l="5080" t="6985" r="10795" b="12065"/>
                <wp:wrapNone/>
                <wp:docPr id="1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 cy="0"/>
                        </a:xfrm>
                        <a:prstGeom prst="line">
                          <a:avLst/>
                        </a:prstGeom>
                        <a:noFill/>
                        <a:ln w="6109">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27932" id="Line 9"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7.65pt,7.55pt" to="110.9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ZvhHQIAAEAEAAAOAAAAZHJzL2Uyb0RvYy54bWysU8GO2jAQvVfqP1i+QxKaZSEirKoEetm2&#10;SLv9AGM7xKpjW7YhoKr/3rFDENteqqoczDgz8+bNzPPq6dxJdOLWCa1KnE1TjLiimgl1KPG31+1k&#10;gZHzRDEiteIlvnCHn9bv3616U/CZbrVk3CIAUa7oTYlb702RJI62vCNuqg1X4Gy07YiHqz0kzJIe&#10;0DuZzNJ0nvTaMmM15c7B13pw4nXEbxpO/demcdwjWWLg5uNp47kPZ7JekeJgiWkFvdIg/8CiI0JB&#10;0RtUTTxBRyv+gOoEtdrpxk+p7hLdNILy2AN0k6W/dfPSEsNjLzAcZ25jcv8Pln457SwSDHYH41Gk&#10;gx09C8XRMoymN66AiErtbGiOntWLedb0u0NKVy1RBx4pvl4MpGUhI3mTEi7OQIF9/1kziCFHr+Oc&#10;zo3tAiRMAJ3jOi63dfCzRxQ+5tns8QEjOnoSUoxpxjr/iesOBaPEEhhHWHJ6dj7QIMUYEqoovRVS&#10;xl1LhfoSz7N0GROcloIFZwhz9rCvpEUnEtQCv+029gSe+7CAXBPXDnHRNejI6qNisUrLCdtcbU+E&#10;HGxgJVUoBB0Cz6s16OTHMl1uFptFPsln880kT+t68nFb5ZP5Nnt8qD/UVVVnPwPnLC9awRhXgfao&#10;2Sz/O01cX8+gtptqb/NJ3qLHQQLZ8T+SjisOWx30sdfssrPj6kGmMfj6pMI7uL+Dff/w178AAAD/&#10;/wMAUEsDBBQABgAIAAAAIQANnDLn3AAAAAkBAAAPAAAAZHJzL2Rvd25yZXYueG1sTI+9TsNAEIR7&#10;JN7htEh05GyjIDA+RwjJHQUxFCnvZ7FNfHvGd0kMT88iCih35tPsTLVZ/CiOOMchkIJ8lYFAssEN&#10;1Cl4fWmubkHEpMnpMRAq+MQIm/r8rNKlCyfa4rFNneAQiqVW0Kc0lVJG26PXcRUmJPbewux14nPu&#10;pJv1icP9KIssu5FeD8Qfej3hY4923x68AjNY08am2d2Z/cc27J6f3Ne7VeryYnm4B5FwSX8w/NTn&#10;6lBzJxMO5KIYFRT5+ppRNtY5CAaKIuct5leQdSX/L6i/AQAA//8DAFBLAQItABQABgAIAAAAIQC2&#10;gziS/gAAAOEBAAATAAAAAAAAAAAAAAAAAAAAAABbQ29udGVudF9UeXBlc10ueG1sUEsBAi0AFAAG&#10;AAgAAAAhADj9If/WAAAAlAEAAAsAAAAAAAAAAAAAAAAALwEAAF9yZWxzLy5yZWxzUEsBAi0AFAAG&#10;AAgAAAAhAECxm+EdAgAAQAQAAA4AAAAAAAAAAAAAAAAALgIAAGRycy9lMm9Eb2MueG1sUEsBAi0A&#10;FAAGAAgAAAAhAA2cMufcAAAACQEAAA8AAAAAAAAAAAAAAAAAdwQAAGRycy9kb3ducmV2LnhtbFBL&#10;BQYAAAAABAAEAPMAAACABQAAAAA=&#10;" strokecolor="blue" strokeweight=".16969mm">
                <w10:wrap anchorx="page"/>
              </v:line>
            </w:pict>
          </mc:Fallback>
        </mc:AlternateContent>
      </w:r>
      <w:r>
        <w:rPr>
          <w:sz w:val="20"/>
          <w:u w:val="single"/>
        </w:rPr>
        <w:t>Outcome</w:t>
      </w:r>
      <w:r>
        <w:rPr>
          <w:color w:val="0000FF"/>
          <w:sz w:val="20"/>
        </w:rPr>
        <w:t xml:space="preserve">: </w:t>
      </w:r>
      <w:hyperlink w:anchor="_bookmark0" w:history="1">
        <w:r>
          <w:rPr>
            <w:b/>
            <w:color w:val="0000FF"/>
            <w:position w:val="7"/>
            <w:sz w:val="13"/>
          </w:rPr>
          <w:t xml:space="preserve">3 </w:t>
        </w:r>
      </w:hyperlink>
      <w:r>
        <w:rPr>
          <w:sz w:val="20"/>
        </w:rPr>
        <w:t>Empirical data demonstrate a relationship between the outcome and at least one healthcare structure, process, intervention, or service. If not available, wide variation in performance can be used as evidence, assuming the data</w:t>
      </w:r>
      <w:r>
        <w:rPr>
          <w:spacing w:val="-3"/>
          <w:sz w:val="20"/>
        </w:rPr>
        <w:t xml:space="preserve"> </w:t>
      </w:r>
      <w:r>
        <w:rPr>
          <w:sz w:val="20"/>
        </w:rPr>
        <w:t>are</w:t>
      </w:r>
      <w:r>
        <w:rPr>
          <w:spacing w:val="-4"/>
          <w:sz w:val="20"/>
        </w:rPr>
        <w:t xml:space="preserve"> </w:t>
      </w:r>
      <w:r>
        <w:rPr>
          <w:sz w:val="20"/>
        </w:rPr>
        <w:t>from</w:t>
      </w:r>
      <w:r>
        <w:rPr>
          <w:spacing w:val="-4"/>
          <w:sz w:val="20"/>
        </w:rPr>
        <w:t xml:space="preserve"> </w:t>
      </w:r>
      <w:r>
        <w:rPr>
          <w:sz w:val="20"/>
        </w:rPr>
        <w:t>a</w:t>
      </w:r>
      <w:r>
        <w:rPr>
          <w:spacing w:val="-3"/>
          <w:sz w:val="20"/>
        </w:rPr>
        <w:t xml:space="preserve"> </w:t>
      </w:r>
      <w:r>
        <w:rPr>
          <w:sz w:val="20"/>
        </w:rPr>
        <w:t>robust</w:t>
      </w:r>
      <w:r>
        <w:rPr>
          <w:spacing w:val="-3"/>
          <w:sz w:val="20"/>
        </w:rPr>
        <w:t xml:space="preserve"> </w:t>
      </w:r>
      <w:r>
        <w:rPr>
          <w:sz w:val="20"/>
        </w:rPr>
        <w:t>number</w:t>
      </w:r>
      <w:r>
        <w:rPr>
          <w:spacing w:val="-3"/>
          <w:sz w:val="20"/>
        </w:rPr>
        <w:t xml:space="preserve"> </w:t>
      </w:r>
      <w:r>
        <w:rPr>
          <w:sz w:val="20"/>
        </w:rPr>
        <w:t>of</w:t>
      </w:r>
      <w:r>
        <w:rPr>
          <w:spacing w:val="-4"/>
          <w:sz w:val="20"/>
        </w:rPr>
        <w:t xml:space="preserve"> </w:t>
      </w:r>
      <w:r>
        <w:rPr>
          <w:sz w:val="20"/>
        </w:rPr>
        <w:t>providers</w:t>
      </w:r>
      <w:r>
        <w:rPr>
          <w:spacing w:val="-4"/>
          <w:sz w:val="20"/>
        </w:rPr>
        <w:t xml:space="preserve"> </w:t>
      </w:r>
      <w:r>
        <w:rPr>
          <w:sz w:val="20"/>
        </w:rPr>
        <w:t>and</w:t>
      </w:r>
      <w:r>
        <w:rPr>
          <w:spacing w:val="-2"/>
          <w:sz w:val="20"/>
        </w:rPr>
        <w:t xml:space="preserve"> </w:t>
      </w:r>
      <w:r>
        <w:rPr>
          <w:sz w:val="20"/>
        </w:rPr>
        <w:t>results</w:t>
      </w:r>
      <w:r>
        <w:rPr>
          <w:spacing w:val="-4"/>
          <w:sz w:val="20"/>
        </w:rPr>
        <w:t xml:space="preserve"> </w:t>
      </w:r>
      <w:r>
        <w:rPr>
          <w:sz w:val="20"/>
        </w:rPr>
        <w:t>are</w:t>
      </w:r>
      <w:r>
        <w:rPr>
          <w:spacing w:val="-4"/>
          <w:sz w:val="20"/>
        </w:rPr>
        <w:t xml:space="preserve"> </w:t>
      </w:r>
      <w:r>
        <w:rPr>
          <w:sz w:val="20"/>
        </w:rPr>
        <w:t>not</w:t>
      </w:r>
      <w:r>
        <w:rPr>
          <w:spacing w:val="-3"/>
          <w:sz w:val="20"/>
        </w:rPr>
        <w:t xml:space="preserve"> </w:t>
      </w:r>
      <w:r>
        <w:rPr>
          <w:sz w:val="20"/>
        </w:rPr>
        <w:t>subject</w:t>
      </w:r>
      <w:r>
        <w:rPr>
          <w:spacing w:val="-3"/>
          <w:sz w:val="20"/>
        </w:rPr>
        <w:t xml:space="preserve"> </w:t>
      </w:r>
      <w:r>
        <w:rPr>
          <w:sz w:val="20"/>
        </w:rPr>
        <w:t>to</w:t>
      </w:r>
      <w:r>
        <w:rPr>
          <w:spacing w:val="-3"/>
          <w:sz w:val="20"/>
        </w:rPr>
        <w:t xml:space="preserve"> </w:t>
      </w:r>
      <w:r>
        <w:rPr>
          <w:sz w:val="20"/>
        </w:rPr>
        <w:t>systematic</w:t>
      </w:r>
      <w:r>
        <w:rPr>
          <w:spacing w:val="-3"/>
          <w:sz w:val="20"/>
        </w:rPr>
        <w:t xml:space="preserve"> </w:t>
      </w:r>
      <w:r>
        <w:rPr>
          <w:sz w:val="20"/>
        </w:rPr>
        <w:t>bias.</w:t>
      </w:r>
    </w:p>
    <w:p w14:paraId="70477917" w14:textId="3BEC5744" w:rsidR="00C4496D" w:rsidRDefault="00895B79">
      <w:pPr>
        <w:pStyle w:val="ListParagraph"/>
        <w:numPr>
          <w:ilvl w:val="0"/>
          <w:numId w:val="5"/>
        </w:numPr>
        <w:tabs>
          <w:tab w:val="left" w:pos="441"/>
        </w:tabs>
        <w:spacing w:before="1" w:line="237" w:lineRule="auto"/>
        <w:ind w:right="267" w:hanging="216"/>
        <w:rPr>
          <w:sz w:val="20"/>
        </w:rPr>
      </w:pPr>
      <w:r>
        <w:rPr>
          <w:noProof/>
        </w:rPr>
        <mc:AlternateContent>
          <mc:Choice Requires="wps">
            <w:drawing>
              <wp:anchor distT="0" distB="0" distL="114300" distR="114300" simplePos="0" relativeHeight="251655168" behindDoc="1" locked="0" layoutInCell="1" allowOverlap="1" wp14:anchorId="02627108" wp14:editId="73165CA0">
                <wp:simplePos x="0" y="0"/>
                <wp:positionH relativeFrom="page">
                  <wp:posOffset>1450975</wp:posOffset>
                </wp:positionH>
                <wp:positionV relativeFrom="paragraph">
                  <wp:posOffset>250190</wp:posOffset>
                </wp:positionV>
                <wp:extent cx="42545" cy="0"/>
                <wp:effectExtent l="12700" t="13970" r="11430" b="5080"/>
                <wp:wrapNone/>
                <wp:docPr id="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45"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E58CB6" id="Line 8"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14.25pt,19.7pt" to="117.6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tdVHAIAAD8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V5gpEgL&#10;I9oJxdE8dKYzroCAtdrbUBu9qBez0/S7Q0qvG6KOPDJ8vRpIy0JG8iYlbJwB/EP3RTOIISevY5su&#10;tW0DJDQAXeI0rvdp8ItHFA7zyTSfYkQHT0KKIc1Y5z9z3aJglFgC4whLzjvnAw1SDCHhFqW3Qso4&#10;aqlQV+JZupjFBKelYMEZwpw9HtbSojMJYoFvu401gecxLCBXxDV9XHT1MrL6pFi8peGEbW62J0L2&#10;NrCSKlwEFQLPm9XL5MciXWzmm3k+yiezzShPq2r0abvOR7Nt9nFafajW6yr7GThnedEIxrgKtAfJ&#10;ZvnfSeL2eHqx3UV770/yFj02EsgO/0g6jjhMtdfHQbPr3g6jB5XG4NuLCs/gcQ/247tf/QIAAP//&#10;AwBQSwMEFAAGAAgAAAAhABsgkl3dAAAACQEAAA8AAABkcnMvZG93bnJldi54bWxMj01PwzAMhu9I&#10;/IfISNxYSsamUZpOEx/iyDaQuHpN1lQ0TmnStfx7jDjA0faj931crCffipPtYxNIw/UsA2GpCqah&#10;WsPb69PVCkRMSAbbQFbDl42wLs/PCsxNGGlnT/tUCw6hmKMGl1KXSxkrZz3GWegs8e0Yeo+Jx76W&#10;pseRw30rVZYtpceGuMFhZ++drT72g+feZ5M24WV437XHh+Vjhlv3iaPWlxfT5g5EslP6g+FHn9Wh&#10;ZKdDGMhE0WpQarVgVMP89gYEA2q+UCAOvwtZFvL/B+U3AAAA//8DAFBLAQItABQABgAIAAAAIQC2&#10;gziS/gAAAOEBAAATAAAAAAAAAAAAAAAAAAAAAABbQ29udGVudF9UeXBlc10ueG1sUEsBAi0AFAAG&#10;AAgAAAAhADj9If/WAAAAlAEAAAsAAAAAAAAAAAAAAAAALwEAAF9yZWxzLy5yZWxzUEsBAi0AFAAG&#10;AAgAAAAhAMte11UcAgAAPwQAAA4AAAAAAAAAAAAAAAAALgIAAGRycy9lMm9Eb2MueG1sUEsBAi0A&#10;FAAGAAgAAAAhABsgkl3dAAAACQEAAA8AAAAAAAAAAAAAAAAAdgQAAGRycy9kb3ducmV2LnhtbFBL&#10;BQYAAAAABAAEAPMAAACABQAAAAA=&#10;" strokecolor="blue" strokeweight=".48pt">
                <w10:wrap anchorx="page"/>
              </v:line>
            </w:pict>
          </mc:Fallback>
        </mc:AlternateContent>
      </w:r>
      <w:r>
        <w:rPr>
          <w:sz w:val="20"/>
          <w:u w:val="single"/>
        </w:rPr>
        <w:t>Intermediate clinical outcome</w:t>
      </w:r>
      <w:r>
        <w:rPr>
          <w:sz w:val="20"/>
        </w:rPr>
        <w:t>: a systematic assessment and grading of the quantity, quality, and consistency of the body of</w:t>
      </w:r>
      <w:r>
        <w:rPr>
          <w:spacing w:val="-5"/>
          <w:sz w:val="20"/>
        </w:rPr>
        <w:t xml:space="preserve"> </w:t>
      </w:r>
      <w:r>
        <w:rPr>
          <w:sz w:val="20"/>
        </w:rPr>
        <w:t>evidence</w:t>
      </w:r>
      <w:r>
        <w:rPr>
          <w:spacing w:val="-5"/>
          <w:sz w:val="20"/>
        </w:rPr>
        <w:t xml:space="preserve"> </w:t>
      </w:r>
      <w:hyperlink w:anchor="_bookmark1" w:history="1">
        <w:r>
          <w:rPr>
            <w:b/>
            <w:color w:val="0000FF"/>
            <w:position w:val="7"/>
            <w:sz w:val="13"/>
          </w:rPr>
          <w:t>4</w:t>
        </w:r>
        <w:r>
          <w:rPr>
            <w:b/>
            <w:color w:val="0000FF"/>
            <w:spacing w:val="-12"/>
            <w:position w:val="7"/>
            <w:sz w:val="13"/>
          </w:rPr>
          <w:t xml:space="preserve"> </w:t>
        </w:r>
      </w:hyperlink>
      <w:r>
        <w:rPr>
          <w:sz w:val="20"/>
        </w:rPr>
        <w:t>that</w:t>
      </w:r>
      <w:r>
        <w:rPr>
          <w:spacing w:val="-4"/>
          <w:sz w:val="20"/>
        </w:rPr>
        <w:t xml:space="preserve"> </w:t>
      </w:r>
      <w:r>
        <w:rPr>
          <w:sz w:val="20"/>
        </w:rPr>
        <w:t>the</w:t>
      </w:r>
      <w:r>
        <w:rPr>
          <w:spacing w:val="-5"/>
          <w:sz w:val="20"/>
        </w:rPr>
        <w:t xml:space="preserve"> </w:t>
      </w:r>
      <w:r>
        <w:rPr>
          <w:sz w:val="20"/>
        </w:rPr>
        <w:t>measured</w:t>
      </w:r>
      <w:r>
        <w:rPr>
          <w:spacing w:val="-3"/>
          <w:sz w:val="20"/>
        </w:rPr>
        <w:t xml:space="preserve"> </w:t>
      </w:r>
      <w:r>
        <w:rPr>
          <w:sz w:val="20"/>
        </w:rPr>
        <w:t>intermediate</w:t>
      </w:r>
      <w:r>
        <w:rPr>
          <w:spacing w:val="-5"/>
          <w:sz w:val="20"/>
        </w:rPr>
        <w:t xml:space="preserve"> </w:t>
      </w:r>
      <w:r>
        <w:rPr>
          <w:sz w:val="20"/>
        </w:rPr>
        <w:t>clinical</w:t>
      </w:r>
      <w:r>
        <w:rPr>
          <w:spacing w:val="-4"/>
          <w:sz w:val="20"/>
        </w:rPr>
        <w:t xml:space="preserve"> </w:t>
      </w:r>
      <w:r>
        <w:rPr>
          <w:sz w:val="20"/>
        </w:rPr>
        <w:t>outcome</w:t>
      </w:r>
      <w:r>
        <w:rPr>
          <w:spacing w:val="-5"/>
          <w:sz w:val="20"/>
        </w:rPr>
        <w:t xml:space="preserve"> </w:t>
      </w:r>
      <w:r>
        <w:rPr>
          <w:sz w:val="20"/>
        </w:rPr>
        <w:t>leads</w:t>
      </w:r>
      <w:r>
        <w:rPr>
          <w:spacing w:val="-5"/>
          <w:sz w:val="20"/>
        </w:rPr>
        <w:t xml:space="preserve"> </w:t>
      </w:r>
      <w:r>
        <w:rPr>
          <w:sz w:val="20"/>
        </w:rPr>
        <w:t>to</w:t>
      </w:r>
      <w:r>
        <w:rPr>
          <w:spacing w:val="-4"/>
          <w:sz w:val="20"/>
        </w:rPr>
        <w:t xml:space="preserve"> </w:t>
      </w:r>
      <w:r>
        <w:rPr>
          <w:sz w:val="20"/>
        </w:rPr>
        <w:t>a</w:t>
      </w:r>
      <w:r>
        <w:rPr>
          <w:spacing w:val="-3"/>
          <w:sz w:val="20"/>
        </w:rPr>
        <w:t xml:space="preserve"> </w:t>
      </w:r>
      <w:r>
        <w:rPr>
          <w:sz w:val="20"/>
        </w:rPr>
        <w:t>desired</w:t>
      </w:r>
      <w:r>
        <w:rPr>
          <w:spacing w:val="-3"/>
          <w:sz w:val="20"/>
        </w:rPr>
        <w:t xml:space="preserve"> </w:t>
      </w:r>
      <w:r>
        <w:rPr>
          <w:sz w:val="20"/>
        </w:rPr>
        <w:t>health</w:t>
      </w:r>
      <w:r>
        <w:rPr>
          <w:spacing w:val="-3"/>
          <w:sz w:val="20"/>
        </w:rPr>
        <w:t xml:space="preserve"> </w:t>
      </w:r>
      <w:r>
        <w:rPr>
          <w:sz w:val="20"/>
        </w:rPr>
        <w:t>outcome.</w:t>
      </w:r>
    </w:p>
    <w:p w14:paraId="00FD4B3D" w14:textId="0D4EDE05" w:rsidR="00C4496D" w:rsidRDefault="00895B79">
      <w:pPr>
        <w:pStyle w:val="ListParagraph"/>
        <w:numPr>
          <w:ilvl w:val="0"/>
          <w:numId w:val="5"/>
        </w:numPr>
        <w:tabs>
          <w:tab w:val="left" w:pos="441"/>
        </w:tabs>
        <w:ind w:right="496" w:hanging="216"/>
        <w:rPr>
          <w:sz w:val="20"/>
        </w:rPr>
      </w:pPr>
      <w:r>
        <w:rPr>
          <w:noProof/>
        </w:rPr>
        <mc:AlternateContent>
          <mc:Choice Requires="wps">
            <w:drawing>
              <wp:anchor distT="0" distB="0" distL="114300" distR="114300" simplePos="0" relativeHeight="251656192" behindDoc="1" locked="0" layoutInCell="1" allowOverlap="1" wp14:anchorId="1596F81B" wp14:editId="10A7B81D">
                <wp:simplePos x="0" y="0"/>
                <wp:positionH relativeFrom="page">
                  <wp:posOffset>1281430</wp:posOffset>
                </wp:positionH>
                <wp:positionV relativeFrom="paragraph">
                  <wp:posOffset>95885</wp:posOffset>
                </wp:positionV>
                <wp:extent cx="41275" cy="0"/>
                <wp:effectExtent l="5080" t="13335" r="10795" b="5715"/>
                <wp:wrapNone/>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4EDA8" id="Line 7"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0.9pt,7.55pt" to="104.1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8HQIAAD8EAAAOAAAAZHJzL2Uyb0RvYy54bWysU02P2yAQvVfqf0DcE9upNx9WnFUVJ72k&#10;baTd/gACOEbFgIDEiar+9w44jrLtparqAx6Ymcebmcfy+dJKdObWCa1KnI1TjLiimgl1LPG31+1o&#10;jpHzRDEiteIlvnKHn1fv3y07U/CJbrRk3CIAUa7oTIkb702RJI42vCVurA1X4Ky1bYmHrT0mzJIO&#10;0FuZTNJ0mnTaMmM15c7BadU78Sri1zWn/mtdO+6RLDFw83G1cT2ENVktSXG0xDSC3miQf2DREqHg&#10;0jtURTxBJyv+gGoFtdrp2o+pbhNd14LyWANUk6W/VfPSEMNjLdAcZ+5tcv8Pln457y0SrMQwKEVa&#10;GNFOKI5moTOdcQUErNXehtroRb2YnabfHVJ63RB15JHh69VAWhYykjcpYeMM4B+6z5pBDDl5Hdt0&#10;qW0bIKEB6BKncb1Pg188onCYZ5PZE0Z08CSkGNKMdf4T1y0KRoklMI6w5LxzPtAgxRASblF6K6SM&#10;o5YKdSWepotpTHBaChacIczZ42EtLTqTIBb4tttYE3gewwJyRVzTx0VXLyOrT4rFWxpO2OZmeyJk&#10;bwMrqcJFUCHwvFm9TH4s0sVmvpnno3wy3YzytKpGH7frfDTdZrOn6kO1XlfZz8A5y4tGMMZVoD1I&#10;Nsv/ThK3x9OL7S7ae3+St+ixkUB2+EfSccRhqr0+Dppd93YYPag0Bt9eVHgGj3uwH9/96hcAAAD/&#10;/wMAUEsDBBQABgAIAAAAIQCr2E0C2wAAAAkBAAAPAAAAZHJzL2Rvd25yZXYueG1sTI/NTsMwEITv&#10;SLyDtUjcqJ0gqiqNU1X8iCO0IHHdxts4amyH2GnC27OIAxx3ZzTzTbmZXSfONMQ2eA3ZQoEgXwfT&#10;+kbD+9vTzQpETOgNdsGThi+KsKkuL0osTJj8js771AgO8bFADTalvpAy1pYcxkXoybN2DIPDxOfQ&#10;SDPgxOGuk7lSS+mw9dxgsad7S/VpPzrufTZpG17Gj113fFg+Kny1nzhpfX01b9cgEs3pzww/+IwO&#10;FTMdwuhNFJ2GXGWMnli4y0CwIVerWxCH34esSvl/QfUNAAD//wMAUEsBAi0AFAAGAAgAAAAhALaD&#10;OJL+AAAA4QEAABMAAAAAAAAAAAAAAAAAAAAAAFtDb250ZW50X1R5cGVzXS54bWxQSwECLQAUAAYA&#10;CAAAACEAOP0h/9YAAACUAQAACwAAAAAAAAAAAAAAAAAvAQAAX3JlbHMvLnJlbHNQSwECLQAUAAYA&#10;CAAAACEAprBEfB0CAAA/BAAADgAAAAAAAAAAAAAAAAAuAgAAZHJzL2Uyb0RvYy54bWxQSwECLQAU&#10;AAYACAAAACEAq9hNAtsAAAAJAQAADwAAAAAAAAAAAAAAAAB3BAAAZHJzL2Rvd25yZXYueG1sUEsF&#10;BgAAAAAEAAQA8wAAAH8FAAAAAA==&#10;" strokecolor="blue" strokeweight=".48pt">
                <w10:wrap anchorx="page"/>
              </v:line>
            </w:pict>
          </mc:Fallback>
        </mc:AlternateContent>
      </w:r>
      <w:r>
        <w:rPr>
          <w:noProof/>
        </w:rPr>
        <mc:AlternateContent>
          <mc:Choice Requires="wps">
            <w:drawing>
              <wp:anchor distT="0" distB="0" distL="114300" distR="114300" simplePos="0" relativeHeight="251657216" behindDoc="1" locked="0" layoutInCell="1" allowOverlap="1" wp14:anchorId="5BB8E020" wp14:editId="18D3A3DA">
                <wp:simplePos x="0" y="0"/>
                <wp:positionH relativeFrom="page">
                  <wp:posOffset>6626225</wp:posOffset>
                </wp:positionH>
                <wp:positionV relativeFrom="paragraph">
                  <wp:posOffset>95885</wp:posOffset>
                </wp:positionV>
                <wp:extent cx="41275" cy="0"/>
                <wp:effectExtent l="6350" t="13335" r="9525" b="5715"/>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6FC087" id="Line 6"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21.75pt,7.55pt" to="52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TdvHQIAAD8EAAAOAAAAZHJzL2Uyb0RvYy54bWysU02P2yAQvVfqf0DcE9upNx9WnFUVJ72k&#10;baTd/gACOEbFgIDEiar+9w44jrLtparqAx6Ymcebmcfy+dJKdObWCa1KnI1TjLiimgl1LPG31+1o&#10;jpHzRDEiteIlvnKHn1fv3y07U/CJbrRk3CIAUa7oTIkb702RJI42vCVurA1X4Ky1bYmHrT0mzJIO&#10;0FuZTNJ0mnTaMmM15c7BadU78Sri1zWn/mtdO+6RLDFw83G1cT2ENVktSXG0xDSC3miQf2DREqHg&#10;0jtURTxBJyv+gGoFtdrp2o+pbhNd14LyWANUk6W/VfPSEMNjLdAcZ+5tcv8Pln457y0SrMQzjBRp&#10;YUQ7oTiahs50xhUQsFZ7G2qjF/Vidpp+d0jpdUPUkUeGr1cDaVnISN6khI0zgH/oPmsGMeTkdWzT&#10;pbZtgIQGoEucxvU+DX7xiMJhnk1mTxjRwZOQYkgz1vlPXLcoGCWWwDjCkvPO+UCDFENIuEXprZAy&#10;jloq1JV4mi6mMcFpKVhwhjBnj4e1tOhMgljg225jTeB5DAvIFXFNHxddvYysPikWb2k4YZub7YmQ&#10;vQ2spAoXQYXA82b1MvmxSBeb+Waej/LJdDPK06oafdyu89F0m82eqg/Vel1lPwPnLC8awRhXgfYg&#10;2Sz/O0ncHk8vtrto7/1J3qLHRgLZ4R9JxxGHqfb6OGh23dth9KDSGHx7UeEZPO7Bfnz3q18AAAD/&#10;/wMAUEsDBBQABgAIAAAAIQAhUTzR2gAAAAsBAAAPAAAAZHJzL2Rvd25yZXYueG1sTE/LTsMwELwj&#10;8Q/WInGjdoFUKI1TVTzEEVqQet3G2yTCjxA7Tfh7tuJQbjs7o3kUq8lZcaQ+tsFrmM8UCPJVMK2v&#10;NXx+vNw8gIgJvUEbPGn4oQir8vKiwNyE0W/ouE21YBMfc9TQpNTlUsaqIYdxFjryzB1C7zAx7Gtp&#10;ehzZ3Fl5q9RCOmw9JzTY0WND1dd2cJz7atI6vA27jT08LZ4VvjffOGp9fTWtlyASTekshlN9rg4l&#10;d9qHwZsoLGN1f5exlq9sDuKkUJniefu/jywL+X9D+QsAAP//AwBQSwECLQAUAAYACAAAACEAtoM4&#10;kv4AAADhAQAAEwAAAAAAAAAAAAAAAAAAAAAAW0NvbnRlbnRfVHlwZXNdLnhtbFBLAQItABQABgAI&#10;AAAAIQA4/SH/1gAAAJQBAAALAAAAAAAAAAAAAAAAAC8BAABfcmVscy8ucmVsc1BLAQItABQABgAI&#10;AAAAIQC8XTdvHQIAAD8EAAAOAAAAAAAAAAAAAAAAAC4CAABkcnMvZTJvRG9jLnhtbFBLAQItABQA&#10;BgAIAAAAIQAhUTzR2gAAAAsBAAAPAAAAAAAAAAAAAAAAAHcEAABkcnMvZG93bnJldi54bWxQSwUG&#10;AAAAAAQABADzAAAAfgUAAAAA&#10;" strokecolor="blue" strokeweight=".48pt">
                <w10:wrap anchorx="page"/>
              </v:line>
            </w:pict>
          </mc:Fallback>
        </mc:AlternateContent>
      </w:r>
      <w:r>
        <w:rPr>
          <w:sz w:val="20"/>
          <w:u w:val="single"/>
        </w:rPr>
        <w:t>Process</w:t>
      </w:r>
      <w:r>
        <w:rPr>
          <w:sz w:val="20"/>
        </w:rPr>
        <w:t xml:space="preserve">: </w:t>
      </w:r>
      <w:hyperlink w:anchor="_bookmark2" w:history="1">
        <w:r>
          <w:rPr>
            <w:b/>
            <w:color w:val="0000FF"/>
            <w:position w:val="7"/>
            <w:sz w:val="13"/>
          </w:rPr>
          <w:t xml:space="preserve">5 </w:t>
        </w:r>
      </w:hyperlink>
      <w:r>
        <w:rPr>
          <w:sz w:val="20"/>
        </w:rPr>
        <w:t xml:space="preserve">a systematic assessment and grading of the quantity, quality, and consistency of the body of evidence </w:t>
      </w:r>
      <w:hyperlink w:anchor="_bookmark1" w:history="1">
        <w:r>
          <w:rPr>
            <w:b/>
            <w:color w:val="0000FF"/>
            <w:position w:val="7"/>
            <w:sz w:val="13"/>
          </w:rPr>
          <w:t xml:space="preserve">4 </w:t>
        </w:r>
      </w:hyperlink>
      <w:r>
        <w:rPr>
          <w:sz w:val="20"/>
        </w:rPr>
        <w:t>that the measured process leads to a desired health</w:t>
      </w:r>
      <w:r>
        <w:rPr>
          <w:spacing w:val="-29"/>
          <w:sz w:val="20"/>
        </w:rPr>
        <w:t xml:space="preserve"> </w:t>
      </w:r>
      <w:r>
        <w:rPr>
          <w:sz w:val="20"/>
        </w:rPr>
        <w:t>outcome.</w:t>
      </w:r>
    </w:p>
    <w:p w14:paraId="103C1B96" w14:textId="5B166598" w:rsidR="00C4496D" w:rsidRDefault="00895B79">
      <w:pPr>
        <w:pStyle w:val="ListParagraph"/>
        <w:numPr>
          <w:ilvl w:val="0"/>
          <w:numId w:val="5"/>
        </w:numPr>
        <w:tabs>
          <w:tab w:val="left" w:pos="441"/>
        </w:tabs>
        <w:ind w:right="439" w:hanging="216"/>
        <w:rPr>
          <w:sz w:val="20"/>
        </w:rPr>
      </w:pPr>
      <w:r>
        <w:rPr>
          <w:noProof/>
        </w:rPr>
        <mc:AlternateContent>
          <mc:Choice Requires="wps">
            <w:drawing>
              <wp:anchor distT="0" distB="0" distL="114300" distR="114300" simplePos="0" relativeHeight="251658240" behindDoc="1" locked="0" layoutInCell="1" allowOverlap="1" wp14:anchorId="5E7B24EF" wp14:editId="4ACAA485">
                <wp:simplePos x="0" y="0"/>
                <wp:positionH relativeFrom="page">
                  <wp:posOffset>6644640</wp:posOffset>
                </wp:positionH>
                <wp:positionV relativeFrom="paragraph">
                  <wp:posOffset>95885</wp:posOffset>
                </wp:positionV>
                <wp:extent cx="41275" cy="0"/>
                <wp:effectExtent l="5715" t="6350" r="10160" b="1270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 cy="0"/>
                        </a:xfrm>
                        <a:prstGeom prst="line">
                          <a:avLst/>
                        </a:prstGeom>
                        <a:noFill/>
                        <a:ln w="6109">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0E443D" id="Line 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23.2pt,7.55pt" to="526.4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pkLHAIAAD8EAAAOAAAAZHJzL2Uyb0RvYy54bWysU8GO2jAQvVfqP1i+QxIaWI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jzDSJEW&#10;RrQTiqNp6ExnXAEBa7W3oTZ6US9mp+l3h5ReN0QdeWT4ejWQloWM5E1K2DgD+Ifus2YQQ05exzZd&#10;atsGSGgAusRpXO/T4BePKBzm2eRpihEdPAkphjRjnf/EdYuCUWIJjCMsOe+cDzRIMYSEW5TeCinj&#10;qKVCHdSapYuY4LQULDhDmLPHw1padCZBLPBtt7Em8DyGBeSKuKaPi65eRlafFIu3NJywzc32RMje&#10;BlZShYugQuB5s3qZ/Fiki818M89H+WS2GeVpVY0+btf5aLbNnqbVh2q9rrKfgXOWF41gjKtAe5Bs&#10;lv+dJG6PpxfbXbT3/iRv0WMjgezwj6TjiMNUe30cNLvu7TB6UGkMvr2o8Awe92A/vvvVLwAAAP//&#10;AwBQSwMEFAAGAAgAAAAhAFj/YJbeAAAACwEAAA8AAABkcnMvZG93bnJldi54bWxMj81Ow0AMhO9I&#10;vMPKSNzoplVb0ZBNhZBy40ADhx73xyShWW/IbtvA0+OKA9w89mj8TbGdfC9OOMYukIL5LAOBZIPr&#10;qFHw9lrd3YOISZPTfSBU8IURtuX1VaFzF860w1OdGsEhFHOtoE1pyKWMtkWv4ywMSHx7D6PXieXY&#10;SDfqM4f7Xi6ybC297og/tHrApxbtoT56Baazpo5Vtd+Yw+cu7F+e3feHVer2Znp8AJFwSn9muOAz&#10;OpTMZMKRXBQ962y5XrKXp9UcxMWRrRYbEOZ3I8tC/u9Q/gAAAP//AwBQSwECLQAUAAYACAAAACEA&#10;toM4kv4AAADhAQAAEwAAAAAAAAAAAAAAAAAAAAAAW0NvbnRlbnRfVHlwZXNdLnhtbFBLAQItABQA&#10;BgAIAAAAIQA4/SH/1gAAAJQBAAALAAAAAAAAAAAAAAAAAC8BAABfcmVscy8ucmVsc1BLAQItABQA&#10;BgAIAAAAIQAC5pkLHAIAAD8EAAAOAAAAAAAAAAAAAAAAAC4CAABkcnMvZTJvRG9jLnhtbFBLAQIt&#10;ABQABgAIAAAAIQBY/2CW3gAAAAsBAAAPAAAAAAAAAAAAAAAAAHYEAABkcnMvZG93bnJldi54bWxQ&#10;SwUGAAAAAAQABADzAAAAgQUAAAAA&#10;" strokecolor="blue" strokeweight=".16969mm">
                <w10:wrap anchorx="page"/>
              </v:line>
            </w:pict>
          </mc:Fallback>
        </mc:AlternateContent>
      </w:r>
      <w:r>
        <w:rPr>
          <w:sz w:val="20"/>
          <w:u w:val="single"/>
        </w:rPr>
        <w:t>Structure</w:t>
      </w:r>
      <w:r>
        <w:rPr>
          <w:sz w:val="20"/>
        </w:rPr>
        <w:t xml:space="preserve">: a systematic assessment and grading of the quantity, quality, and consistency of the body of evidence </w:t>
      </w:r>
      <w:hyperlink w:anchor="_bookmark1" w:history="1">
        <w:r>
          <w:rPr>
            <w:b/>
            <w:color w:val="0000FF"/>
            <w:position w:val="7"/>
            <w:sz w:val="13"/>
          </w:rPr>
          <w:t>4</w:t>
        </w:r>
      </w:hyperlink>
      <w:r>
        <w:rPr>
          <w:b/>
          <w:color w:val="0000FF"/>
          <w:position w:val="7"/>
          <w:sz w:val="13"/>
        </w:rPr>
        <w:t xml:space="preserve"> </w:t>
      </w:r>
      <w:r>
        <w:rPr>
          <w:sz w:val="20"/>
        </w:rPr>
        <w:t>that the measured structure leads to a desired health</w:t>
      </w:r>
      <w:r>
        <w:rPr>
          <w:spacing w:val="-31"/>
          <w:sz w:val="20"/>
        </w:rPr>
        <w:t xml:space="preserve"> </w:t>
      </w:r>
      <w:r>
        <w:rPr>
          <w:sz w:val="20"/>
        </w:rPr>
        <w:t>outcome.</w:t>
      </w:r>
    </w:p>
    <w:p w14:paraId="6CFAF45A" w14:textId="35616303" w:rsidR="00C4496D" w:rsidRDefault="00895B79">
      <w:pPr>
        <w:pStyle w:val="ListParagraph"/>
        <w:numPr>
          <w:ilvl w:val="0"/>
          <w:numId w:val="5"/>
        </w:numPr>
        <w:tabs>
          <w:tab w:val="left" w:pos="441"/>
        </w:tabs>
        <w:spacing w:line="254" w:lineRule="exact"/>
        <w:ind w:left="441"/>
        <w:rPr>
          <w:sz w:val="20"/>
        </w:rPr>
      </w:pPr>
      <w:r>
        <w:rPr>
          <w:noProof/>
        </w:rPr>
        <mc:AlternateContent>
          <mc:Choice Requires="wps">
            <w:drawing>
              <wp:anchor distT="0" distB="0" distL="114300" distR="114300" simplePos="0" relativeHeight="251659264" behindDoc="1" locked="0" layoutInCell="1" allowOverlap="1" wp14:anchorId="3544C196" wp14:editId="0C1C5123">
                <wp:simplePos x="0" y="0"/>
                <wp:positionH relativeFrom="page">
                  <wp:posOffset>1380490</wp:posOffset>
                </wp:positionH>
                <wp:positionV relativeFrom="paragraph">
                  <wp:posOffset>95250</wp:posOffset>
                </wp:positionV>
                <wp:extent cx="41275" cy="0"/>
                <wp:effectExtent l="8890" t="8255" r="6985" b="1079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6EBE6" id="Line 4"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8.7pt,7.5pt" to="111.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1JHAIAAD8EAAAOAAAAZHJzL2Uyb0RvYy54bWysU8GO2yAQvVfqPyDuie3Um02sOKvKTnrZ&#10;tpF2+wEEcIyKAQGJE1X99w44jrLtparqAx6Ymcebmcfq6dxJdOLWCa1KnE1TjLiimgl1KPG31+1k&#10;gZHzRDEiteIlvnCHn9bv3616U/CZbrVk3CIAUa7oTYlb702RJI62vCNuqg1X4Gy07YiHrT0kzJIe&#10;0DuZzNJ0nvTaMmM15c7BaT048TriNw2n/mvTOO6RLDFw83G1cd2HNVmvSHGwxLSCXmmQf2DREaHg&#10;0htUTTxBRyv+gOoEtdrpxk+p7hLdNILyWANUk6W/VfPSEsNjLdAcZ25tcv8Pln457SwSrMQPGCnS&#10;wYieheIoD53pjSsgoFI7G2qjZ/VinjX97pDSVUvUgUeGrxcDaVnISN6khI0zgL/vP2sGMeTodWzT&#10;ubFdgIQGoHOcxuU2DX72iMJhns0egRQdPQkpxjRjnf/EdYeCUWIJjCMsOT07H2iQYgwJtyi9FVLG&#10;UUuF+hLP0+U8JjgtBQvOEObsYV9Ji04kiAW+7TbWBJ77sIBcE9cOcdE1yMjqo2LxlpYTtrnangg5&#10;2MBKqnARVAg8r9Ygkx/LdLlZbBb5JJ/NN5M8revJx22VT+bb7PGh/lBXVZ39DJyzvGgFY1wF2qNk&#10;s/zvJHF9PIPYbqK99Sd5ix4bCWTHfyQdRxymOuhjr9llZ8fRg0pj8PVFhWdwvwf7/t2vfwEAAP//&#10;AwBQSwMEFAAGAAgAAAAhAIlz9LTcAAAACQEAAA8AAABkcnMvZG93bnJldi54bWxMj0tPwzAQhO9I&#10;/AdrkbhRpwFKCXGqioc4Qkslrtt4G0f4EWKnCf+eRRzguDujmW/K1eSsOFIf2+AVzGcZCPJ10K1v&#10;FOzeni6WIGJCr9EGTwq+KMKqOj0psdBh9Bs6blMjOMTHAhWYlLpCylgbchhnoSPP2iH0DhOffSN1&#10;jyOHOyvzLFtIh63nBoMd3RuqP7aD495nndbhZXjf2MPD4jHDV/OJo1LnZ9P6DkSiKf2Z4Qef0aFi&#10;pn0YvI7CKsjnN1dsZeGaN7Ehzy9vQex/H7Iq5f8F1TcAAAD//wMAUEsBAi0AFAAGAAgAAAAhALaD&#10;OJL+AAAA4QEAABMAAAAAAAAAAAAAAAAAAAAAAFtDb250ZW50X1R5cGVzXS54bWxQSwECLQAUAAYA&#10;CAAAACEAOP0h/9YAAACUAQAACwAAAAAAAAAAAAAAAAAvAQAAX3JlbHMvLnJlbHNQSwECLQAUAAYA&#10;CAAAACEAVcENSRwCAAA/BAAADgAAAAAAAAAAAAAAAAAuAgAAZHJzL2Uyb0RvYy54bWxQSwECLQAU&#10;AAYACAAAACEAiXP0tNwAAAAJAQAADwAAAAAAAAAAAAAAAAB2BAAAZHJzL2Rvd25yZXYueG1sUEsF&#10;BgAAAAAEAAQA8wAAAH8FAAAAAA==&#10;" strokecolor="blue" strokeweight=".48pt">
                <w10:wrap anchorx="page"/>
              </v:line>
            </w:pict>
          </mc:Fallback>
        </mc:AlternateContent>
      </w:r>
      <w:r>
        <w:rPr>
          <w:sz w:val="20"/>
          <w:u w:val="single"/>
        </w:rPr>
        <w:t>Efficiency</w:t>
      </w:r>
      <w:r>
        <w:rPr>
          <w:sz w:val="20"/>
        </w:rPr>
        <w:t>:</w:t>
      </w:r>
      <w:r>
        <w:rPr>
          <w:spacing w:val="-5"/>
          <w:sz w:val="20"/>
        </w:rPr>
        <w:t xml:space="preserve"> </w:t>
      </w:r>
      <w:hyperlink w:anchor="_bookmark3" w:history="1">
        <w:r>
          <w:rPr>
            <w:b/>
            <w:color w:val="0000FF"/>
            <w:position w:val="7"/>
            <w:sz w:val="13"/>
          </w:rPr>
          <w:t>6</w:t>
        </w:r>
        <w:r>
          <w:rPr>
            <w:b/>
            <w:color w:val="0000FF"/>
            <w:spacing w:val="-4"/>
            <w:position w:val="7"/>
            <w:sz w:val="13"/>
          </w:rPr>
          <w:t xml:space="preserve"> </w:t>
        </w:r>
      </w:hyperlink>
      <w:r>
        <w:rPr>
          <w:sz w:val="20"/>
        </w:rPr>
        <w:t>evidence</w:t>
      </w:r>
      <w:r>
        <w:rPr>
          <w:spacing w:val="-5"/>
          <w:sz w:val="20"/>
        </w:rPr>
        <w:t xml:space="preserve"> </w:t>
      </w:r>
      <w:r>
        <w:rPr>
          <w:sz w:val="20"/>
        </w:rPr>
        <w:t>not</w:t>
      </w:r>
      <w:r>
        <w:rPr>
          <w:spacing w:val="-4"/>
          <w:sz w:val="20"/>
        </w:rPr>
        <w:t xml:space="preserve"> </w:t>
      </w:r>
      <w:r>
        <w:rPr>
          <w:sz w:val="20"/>
        </w:rPr>
        <w:t>required</w:t>
      </w:r>
      <w:r>
        <w:rPr>
          <w:spacing w:val="-3"/>
          <w:sz w:val="20"/>
        </w:rPr>
        <w:t xml:space="preserve"> </w:t>
      </w:r>
      <w:r>
        <w:rPr>
          <w:sz w:val="20"/>
        </w:rPr>
        <w:t>for</w:t>
      </w:r>
      <w:r>
        <w:rPr>
          <w:spacing w:val="-4"/>
          <w:sz w:val="20"/>
        </w:rPr>
        <w:t xml:space="preserve"> </w:t>
      </w:r>
      <w:r>
        <w:rPr>
          <w:sz w:val="20"/>
        </w:rPr>
        <w:t>the</w:t>
      </w:r>
      <w:r>
        <w:rPr>
          <w:spacing w:val="-5"/>
          <w:sz w:val="20"/>
        </w:rPr>
        <w:t xml:space="preserve"> </w:t>
      </w:r>
      <w:r>
        <w:rPr>
          <w:sz w:val="20"/>
        </w:rPr>
        <w:t>resource</w:t>
      </w:r>
      <w:r>
        <w:rPr>
          <w:spacing w:val="-5"/>
          <w:sz w:val="20"/>
        </w:rPr>
        <w:t xml:space="preserve"> </w:t>
      </w:r>
      <w:r>
        <w:rPr>
          <w:sz w:val="20"/>
        </w:rPr>
        <w:t>use</w:t>
      </w:r>
      <w:r>
        <w:rPr>
          <w:spacing w:val="-5"/>
          <w:sz w:val="20"/>
        </w:rPr>
        <w:t xml:space="preserve"> </w:t>
      </w:r>
      <w:r>
        <w:rPr>
          <w:sz w:val="20"/>
        </w:rPr>
        <w:t>component.</w:t>
      </w:r>
    </w:p>
    <w:p w14:paraId="727D0223" w14:textId="77777777" w:rsidR="00C4496D" w:rsidRDefault="00895B79">
      <w:pPr>
        <w:pStyle w:val="ListParagraph"/>
        <w:numPr>
          <w:ilvl w:val="0"/>
          <w:numId w:val="5"/>
        </w:numPr>
        <w:tabs>
          <w:tab w:val="left" w:pos="441"/>
        </w:tabs>
        <w:ind w:right="1052" w:hanging="216"/>
        <w:rPr>
          <w:sz w:val="20"/>
        </w:rPr>
      </w:pPr>
      <w:r>
        <w:rPr>
          <w:sz w:val="20"/>
        </w:rPr>
        <w:t xml:space="preserve">For measures derived from </w:t>
      </w:r>
      <w:r>
        <w:rPr>
          <w:sz w:val="20"/>
          <w:u w:val="single"/>
        </w:rPr>
        <w:t>patient reports</w:t>
      </w:r>
      <w:r>
        <w:rPr>
          <w:sz w:val="20"/>
        </w:rPr>
        <w:t>, evidence should demonstrate that the target population values the measured outcome, process, or structure and finds it</w:t>
      </w:r>
      <w:r>
        <w:rPr>
          <w:spacing w:val="-33"/>
          <w:sz w:val="20"/>
        </w:rPr>
        <w:t xml:space="preserve"> </w:t>
      </w:r>
      <w:r>
        <w:rPr>
          <w:sz w:val="20"/>
        </w:rPr>
        <w:t>meaningful.</w:t>
      </w:r>
    </w:p>
    <w:p w14:paraId="40C7EE6D" w14:textId="77777777" w:rsidR="00C4496D" w:rsidRDefault="00895B79">
      <w:pPr>
        <w:pStyle w:val="ListParagraph"/>
        <w:numPr>
          <w:ilvl w:val="0"/>
          <w:numId w:val="5"/>
        </w:numPr>
        <w:tabs>
          <w:tab w:val="left" w:pos="441"/>
        </w:tabs>
        <w:ind w:right="634" w:hanging="216"/>
        <w:rPr>
          <w:sz w:val="20"/>
        </w:rPr>
      </w:pPr>
      <w:r>
        <w:rPr>
          <w:sz w:val="20"/>
          <w:u w:val="single"/>
        </w:rPr>
        <w:t>Process measures incorporating Appropriate Use Criteria:</w:t>
      </w:r>
      <w:r>
        <w:rPr>
          <w:sz w:val="20"/>
        </w:rPr>
        <w:t xml:space="preserve"> See NQF’s guidance for evidence for measures, in general; guidance</w:t>
      </w:r>
      <w:r>
        <w:rPr>
          <w:spacing w:val="-6"/>
          <w:sz w:val="20"/>
        </w:rPr>
        <w:t xml:space="preserve"> </w:t>
      </w:r>
      <w:r>
        <w:rPr>
          <w:sz w:val="20"/>
        </w:rPr>
        <w:t>for</w:t>
      </w:r>
      <w:r>
        <w:rPr>
          <w:spacing w:val="-5"/>
          <w:sz w:val="20"/>
        </w:rPr>
        <w:t xml:space="preserve"> </w:t>
      </w:r>
      <w:r>
        <w:rPr>
          <w:sz w:val="20"/>
        </w:rPr>
        <w:t>measures</w:t>
      </w:r>
      <w:r>
        <w:rPr>
          <w:spacing w:val="-6"/>
          <w:sz w:val="20"/>
        </w:rPr>
        <w:t xml:space="preserve"> </w:t>
      </w:r>
      <w:r>
        <w:rPr>
          <w:sz w:val="20"/>
        </w:rPr>
        <w:t>specifically</w:t>
      </w:r>
      <w:r>
        <w:rPr>
          <w:spacing w:val="-4"/>
          <w:sz w:val="20"/>
        </w:rPr>
        <w:t xml:space="preserve"> </w:t>
      </w:r>
      <w:r>
        <w:rPr>
          <w:sz w:val="20"/>
        </w:rPr>
        <w:t>based</w:t>
      </w:r>
      <w:r>
        <w:rPr>
          <w:spacing w:val="-4"/>
          <w:sz w:val="20"/>
        </w:rPr>
        <w:t xml:space="preserve"> </w:t>
      </w:r>
      <w:r>
        <w:rPr>
          <w:sz w:val="20"/>
        </w:rPr>
        <w:t>on</w:t>
      </w:r>
      <w:r>
        <w:rPr>
          <w:spacing w:val="-4"/>
          <w:sz w:val="20"/>
        </w:rPr>
        <w:t xml:space="preserve"> </w:t>
      </w:r>
      <w:r>
        <w:rPr>
          <w:sz w:val="20"/>
        </w:rPr>
        <w:t>clinical</w:t>
      </w:r>
      <w:r>
        <w:rPr>
          <w:spacing w:val="-5"/>
          <w:sz w:val="20"/>
        </w:rPr>
        <w:t xml:space="preserve"> </w:t>
      </w:r>
      <w:r>
        <w:rPr>
          <w:sz w:val="20"/>
        </w:rPr>
        <w:t>practice</w:t>
      </w:r>
      <w:r>
        <w:rPr>
          <w:spacing w:val="-3"/>
          <w:sz w:val="20"/>
        </w:rPr>
        <w:t xml:space="preserve"> </w:t>
      </w:r>
      <w:r>
        <w:rPr>
          <w:sz w:val="20"/>
        </w:rPr>
        <w:t>guidelines</w:t>
      </w:r>
      <w:r>
        <w:rPr>
          <w:spacing w:val="-7"/>
          <w:sz w:val="20"/>
        </w:rPr>
        <w:t xml:space="preserve"> </w:t>
      </w:r>
      <w:r>
        <w:rPr>
          <w:sz w:val="20"/>
        </w:rPr>
        <w:t>apply</w:t>
      </w:r>
      <w:r>
        <w:rPr>
          <w:spacing w:val="-4"/>
          <w:sz w:val="20"/>
        </w:rPr>
        <w:t xml:space="preserve"> </w:t>
      </w:r>
      <w:r>
        <w:rPr>
          <w:sz w:val="20"/>
        </w:rPr>
        <w:t>as</w:t>
      </w:r>
      <w:r>
        <w:rPr>
          <w:spacing w:val="-6"/>
          <w:sz w:val="20"/>
        </w:rPr>
        <w:t xml:space="preserve"> </w:t>
      </w:r>
      <w:r>
        <w:rPr>
          <w:sz w:val="20"/>
        </w:rPr>
        <w:t>well.</w:t>
      </w:r>
    </w:p>
    <w:p w14:paraId="5112B339" w14:textId="77777777" w:rsidR="00C4496D" w:rsidRDefault="00C4496D">
      <w:pPr>
        <w:pStyle w:val="BodyText"/>
        <w:rPr>
          <w:sz w:val="18"/>
        </w:rPr>
      </w:pPr>
    </w:p>
    <w:p w14:paraId="55727390" w14:textId="77777777" w:rsidR="00C4496D" w:rsidRDefault="00895B79">
      <w:pPr>
        <w:pStyle w:val="Heading3"/>
        <w:rPr>
          <w:u w:val="none"/>
        </w:rPr>
      </w:pPr>
      <w:r>
        <w:rPr>
          <w:u w:val="none"/>
        </w:rPr>
        <w:t>Notes</w:t>
      </w:r>
    </w:p>
    <w:p w14:paraId="22C83DB2" w14:textId="77777777" w:rsidR="00C4496D" w:rsidRDefault="00895B79">
      <w:pPr>
        <w:pStyle w:val="ListParagraph"/>
        <w:numPr>
          <w:ilvl w:val="0"/>
          <w:numId w:val="4"/>
        </w:numPr>
        <w:tabs>
          <w:tab w:val="left" w:pos="424"/>
        </w:tabs>
        <w:ind w:right="736" w:firstLine="0"/>
        <w:rPr>
          <w:sz w:val="20"/>
        </w:rPr>
      </w:pPr>
      <w:bookmarkStart w:id="3" w:name="_bookmark0"/>
      <w:bookmarkEnd w:id="3"/>
      <w:r>
        <w:rPr>
          <w:sz w:val="20"/>
        </w:rPr>
        <w:t>Generally,</w:t>
      </w:r>
      <w:r>
        <w:rPr>
          <w:spacing w:val="-4"/>
          <w:sz w:val="20"/>
        </w:rPr>
        <w:t xml:space="preserve"> </w:t>
      </w:r>
      <w:r>
        <w:rPr>
          <w:sz w:val="20"/>
        </w:rPr>
        <w:t>rare</w:t>
      </w:r>
      <w:r>
        <w:rPr>
          <w:spacing w:val="-6"/>
          <w:sz w:val="20"/>
        </w:rPr>
        <w:t xml:space="preserve"> </w:t>
      </w:r>
      <w:r>
        <w:rPr>
          <w:sz w:val="20"/>
        </w:rPr>
        <w:t>event</w:t>
      </w:r>
      <w:r>
        <w:rPr>
          <w:spacing w:val="-5"/>
          <w:sz w:val="20"/>
        </w:rPr>
        <w:t xml:space="preserve"> </w:t>
      </w:r>
      <w:r>
        <w:rPr>
          <w:sz w:val="20"/>
        </w:rPr>
        <w:t>outcomes</w:t>
      </w:r>
      <w:r>
        <w:rPr>
          <w:spacing w:val="-6"/>
          <w:sz w:val="20"/>
        </w:rPr>
        <w:t xml:space="preserve"> </w:t>
      </w:r>
      <w:r>
        <w:rPr>
          <w:sz w:val="20"/>
        </w:rPr>
        <w:t>do</w:t>
      </w:r>
      <w:r>
        <w:rPr>
          <w:spacing w:val="-5"/>
          <w:sz w:val="20"/>
        </w:rPr>
        <w:t xml:space="preserve"> </w:t>
      </w:r>
      <w:r>
        <w:rPr>
          <w:sz w:val="20"/>
        </w:rPr>
        <w:t>not</w:t>
      </w:r>
      <w:r>
        <w:rPr>
          <w:spacing w:val="-5"/>
          <w:sz w:val="20"/>
        </w:rPr>
        <w:t xml:space="preserve"> </w:t>
      </w:r>
      <w:r>
        <w:rPr>
          <w:sz w:val="20"/>
        </w:rPr>
        <w:t>provide</w:t>
      </w:r>
      <w:r>
        <w:rPr>
          <w:spacing w:val="-6"/>
          <w:sz w:val="20"/>
        </w:rPr>
        <w:t xml:space="preserve"> </w:t>
      </w:r>
      <w:r>
        <w:rPr>
          <w:sz w:val="20"/>
        </w:rPr>
        <w:t>adequate</w:t>
      </w:r>
      <w:r>
        <w:rPr>
          <w:spacing w:val="-6"/>
          <w:sz w:val="20"/>
        </w:rPr>
        <w:t xml:space="preserve"> </w:t>
      </w:r>
      <w:r>
        <w:rPr>
          <w:sz w:val="20"/>
        </w:rPr>
        <w:t>information</w:t>
      </w:r>
      <w:r>
        <w:rPr>
          <w:spacing w:val="-4"/>
          <w:sz w:val="20"/>
        </w:rPr>
        <w:t xml:space="preserve"> </w:t>
      </w:r>
      <w:r>
        <w:rPr>
          <w:sz w:val="20"/>
        </w:rPr>
        <w:t>for</w:t>
      </w:r>
      <w:r>
        <w:rPr>
          <w:spacing w:val="-5"/>
          <w:sz w:val="20"/>
        </w:rPr>
        <w:t xml:space="preserve"> </w:t>
      </w:r>
      <w:r>
        <w:rPr>
          <w:sz w:val="20"/>
        </w:rPr>
        <w:t>improvement</w:t>
      </w:r>
      <w:r>
        <w:rPr>
          <w:spacing w:val="-2"/>
          <w:sz w:val="20"/>
        </w:rPr>
        <w:t xml:space="preserve"> </w:t>
      </w:r>
      <w:r>
        <w:rPr>
          <w:sz w:val="20"/>
        </w:rPr>
        <w:t>or</w:t>
      </w:r>
      <w:r>
        <w:rPr>
          <w:spacing w:val="-5"/>
          <w:sz w:val="20"/>
        </w:rPr>
        <w:t xml:space="preserve"> </w:t>
      </w:r>
      <w:r>
        <w:rPr>
          <w:sz w:val="20"/>
        </w:rPr>
        <w:t>discrimination;</w:t>
      </w:r>
      <w:r>
        <w:rPr>
          <w:spacing w:val="-6"/>
          <w:sz w:val="20"/>
        </w:rPr>
        <w:t xml:space="preserve"> </w:t>
      </w:r>
      <w:r>
        <w:rPr>
          <w:sz w:val="20"/>
        </w:rPr>
        <w:t>however, serious reportable events that are compared to zero are appropriate outcomes for public reporting and quality improvement.</w:t>
      </w:r>
    </w:p>
    <w:p w14:paraId="76F39C18" w14:textId="77777777" w:rsidR="00C4496D" w:rsidRDefault="00895B79">
      <w:pPr>
        <w:pStyle w:val="ListParagraph"/>
        <w:numPr>
          <w:ilvl w:val="0"/>
          <w:numId w:val="4"/>
        </w:numPr>
        <w:tabs>
          <w:tab w:val="left" w:pos="424"/>
        </w:tabs>
        <w:ind w:right="547" w:firstLine="0"/>
        <w:rPr>
          <w:sz w:val="20"/>
        </w:rPr>
      </w:pPr>
      <w:bookmarkStart w:id="4" w:name="_bookmark1"/>
      <w:bookmarkEnd w:id="4"/>
      <w:r>
        <w:rPr>
          <w:sz w:val="20"/>
        </w:rPr>
        <w:t>The</w:t>
      </w:r>
      <w:r>
        <w:rPr>
          <w:spacing w:val="-5"/>
          <w:sz w:val="20"/>
        </w:rPr>
        <w:t xml:space="preserve"> </w:t>
      </w:r>
      <w:r>
        <w:rPr>
          <w:sz w:val="20"/>
        </w:rPr>
        <w:t>preferred</w:t>
      </w:r>
      <w:r>
        <w:rPr>
          <w:spacing w:val="-3"/>
          <w:sz w:val="20"/>
        </w:rPr>
        <w:t xml:space="preserve"> </w:t>
      </w:r>
      <w:r>
        <w:rPr>
          <w:sz w:val="20"/>
        </w:rPr>
        <w:t>systems</w:t>
      </w:r>
      <w:r>
        <w:rPr>
          <w:spacing w:val="-5"/>
          <w:sz w:val="20"/>
        </w:rPr>
        <w:t xml:space="preserve"> </w:t>
      </w:r>
      <w:r>
        <w:rPr>
          <w:sz w:val="20"/>
        </w:rPr>
        <w:t>for</w:t>
      </w:r>
      <w:r>
        <w:rPr>
          <w:spacing w:val="-4"/>
          <w:sz w:val="20"/>
        </w:rPr>
        <w:t xml:space="preserve"> </w:t>
      </w:r>
      <w:r>
        <w:rPr>
          <w:sz w:val="20"/>
        </w:rPr>
        <w:t>grading</w:t>
      </w:r>
      <w:r>
        <w:rPr>
          <w:spacing w:val="-4"/>
          <w:sz w:val="20"/>
        </w:rPr>
        <w:t xml:space="preserve"> </w:t>
      </w:r>
      <w:r>
        <w:rPr>
          <w:sz w:val="20"/>
        </w:rPr>
        <w:t>the</w:t>
      </w:r>
      <w:r>
        <w:rPr>
          <w:spacing w:val="-5"/>
          <w:sz w:val="20"/>
        </w:rPr>
        <w:t xml:space="preserve"> </w:t>
      </w:r>
      <w:r>
        <w:rPr>
          <w:sz w:val="20"/>
        </w:rPr>
        <w:t>evidence</w:t>
      </w:r>
      <w:r>
        <w:rPr>
          <w:spacing w:val="-5"/>
          <w:sz w:val="20"/>
        </w:rPr>
        <w:t xml:space="preserve"> </w:t>
      </w:r>
      <w:r>
        <w:rPr>
          <w:sz w:val="20"/>
        </w:rPr>
        <w:t>are</w:t>
      </w:r>
      <w:r>
        <w:rPr>
          <w:spacing w:val="-5"/>
          <w:sz w:val="20"/>
        </w:rPr>
        <w:t xml:space="preserve"> </w:t>
      </w:r>
      <w:r>
        <w:rPr>
          <w:sz w:val="20"/>
        </w:rPr>
        <w:t>the</w:t>
      </w:r>
      <w:r>
        <w:rPr>
          <w:spacing w:val="-5"/>
          <w:sz w:val="20"/>
        </w:rPr>
        <w:t xml:space="preserve"> </w:t>
      </w:r>
      <w:r>
        <w:rPr>
          <w:sz w:val="20"/>
        </w:rPr>
        <w:t>Grading</w:t>
      </w:r>
      <w:r>
        <w:rPr>
          <w:spacing w:val="-4"/>
          <w:sz w:val="20"/>
        </w:rPr>
        <w:t xml:space="preserve"> </w:t>
      </w:r>
      <w:r>
        <w:rPr>
          <w:sz w:val="20"/>
        </w:rPr>
        <w:t>of</w:t>
      </w:r>
      <w:r>
        <w:rPr>
          <w:spacing w:val="-5"/>
          <w:sz w:val="20"/>
        </w:rPr>
        <w:t xml:space="preserve"> </w:t>
      </w:r>
      <w:r>
        <w:rPr>
          <w:sz w:val="20"/>
        </w:rPr>
        <w:t>Recommendations,</w:t>
      </w:r>
      <w:r>
        <w:rPr>
          <w:spacing w:val="-1"/>
          <w:sz w:val="20"/>
        </w:rPr>
        <w:t xml:space="preserve"> </w:t>
      </w:r>
      <w:r>
        <w:rPr>
          <w:sz w:val="20"/>
        </w:rPr>
        <w:t>Assessment,</w:t>
      </w:r>
      <w:r>
        <w:rPr>
          <w:spacing w:val="-3"/>
          <w:sz w:val="20"/>
        </w:rPr>
        <w:t xml:space="preserve"> </w:t>
      </w:r>
      <w:r>
        <w:rPr>
          <w:sz w:val="20"/>
        </w:rPr>
        <w:t>Development</w:t>
      </w:r>
      <w:r>
        <w:rPr>
          <w:spacing w:val="-4"/>
          <w:sz w:val="20"/>
        </w:rPr>
        <w:t xml:space="preserve"> </w:t>
      </w:r>
      <w:r>
        <w:rPr>
          <w:sz w:val="20"/>
        </w:rPr>
        <w:t>and</w:t>
      </w:r>
      <w:bookmarkStart w:id="5" w:name="_bookmark2"/>
      <w:bookmarkEnd w:id="5"/>
      <w:r>
        <w:rPr>
          <w:sz w:val="20"/>
        </w:rPr>
        <w:t xml:space="preserve"> Evaluation</w:t>
      </w:r>
      <w:r>
        <w:rPr>
          <w:color w:val="0000FF"/>
          <w:sz w:val="20"/>
        </w:rPr>
        <w:t xml:space="preserve"> </w:t>
      </w:r>
      <w:hyperlink r:id="rId12">
        <w:r>
          <w:rPr>
            <w:color w:val="0000FF"/>
            <w:sz w:val="20"/>
            <w:u w:val="single" w:color="0000FF"/>
          </w:rPr>
          <w:t>(GRADE) guidelines</w:t>
        </w:r>
        <w:r>
          <w:rPr>
            <w:color w:val="0000FF"/>
            <w:sz w:val="20"/>
          </w:rPr>
          <w:t xml:space="preserve"> </w:t>
        </w:r>
      </w:hyperlink>
      <w:r>
        <w:rPr>
          <w:sz w:val="20"/>
        </w:rPr>
        <w:t>and/or modified</w:t>
      </w:r>
      <w:r>
        <w:rPr>
          <w:spacing w:val="-32"/>
          <w:sz w:val="20"/>
        </w:rPr>
        <w:t xml:space="preserve"> </w:t>
      </w:r>
      <w:r>
        <w:rPr>
          <w:sz w:val="20"/>
        </w:rPr>
        <w:t>GRADE.</w:t>
      </w:r>
    </w:p>
    <w:p w14:paraId="7AB83B07" w14:textId="77777777" w:rsidR="00C4496D" w:rsidRDefault="00895B79">
      <w:pPr>
        <w:pStyle w:val="ListParagraph"/>
        <w:numPr>
          <w:ilvl w:val="0"/>
          <w:numId w:val="4"/>
        </w:numPr>
        <w:tabs>
          <w:tab w:val="left" w:pos="424"/>
        </w:tabs>
        <w:ind w:right="468" w:firstLine="0"/>
        <w:rPr>
          <w:sz w:val="20"/>
        </w:rPr>
      </w:pPr>
      <w:r>
        <w:rPr>
          <w:sz w:val="20"/>
        </w:rPr>
        <w:t xml:space="preserve">Clinical care processes typically include multiple steps: assess </w:t>
      </w:r>
      <w:r>
        <w:rPr>
          <w:rFonts w:ascii="Symbol" w:hAnsi="Symbol"/>
          <w:sz w:val="20"/>
        </w:rPr>
        <w:t></w:t>
      </w:r>
      <w:r>
        <w:rPr>
          <w:rFonts w:ascii="Times New Roman" w:hAnsi="Times New Roman"/>
          <w:sz w:val="20"/>
        </w:rPr>
        <w:t xml:space="preserve"> </w:t>
      </w:r>
      <w:r>
        <w:rPr>
          <w:sz w:val="20"/>
        </w:rPr>
        <w:t xml:space="preserve">identify problem/potential problem </w:t>
      </w:r>
      <w:r>
        <w:rPr>
          <w:rFonts w:ascii="Symbol" w:hAnsi="Symbol"/>
          <w:sz w:val="20"/>
        </w:rPr>
        <w:t></w:t>
      </w:r>
      <w:r>
        <w:rPr>
          <w:rFonts w:ascii="Times New Roman" w:hAnsi="Times New Roman"/>
          <w:sz w:val="20"/>
        </w:rPr>
        <w:t xml:space="preserve"> </w:t>
      </w:r>
      <w:r>
        <w:rPr>
          <w:sz w:val="20"/>
        </w:rPr>
        <w:t>choose/plan intervention</w:t>
      </w:r>
      <w:r>
        <w:rPr>
          <w:spacing w:val="-3"/>
          <w:sz w:val="20"/>
        </w:rPr>
        <w:t xml:space="preserve"> </w:t>
      </w:r>
      <w:r>
        <w:rPr>
          <w:sz w:val="20"/>
        </w:rPr>
        <w:t>(with</w:t>
      </w:r>
      <w:r>
        <w:rPr>
          <w:spacing w:val="-3"/>
          <w:sz w:val="20"/>
        </w:rPr>
        <w:t xml:space="preserve"> </w:t>
      </w:r>
      <w:r>
        <w:rPr>
          <w:sz w:val="20"/>
        </w:rPr>
        <w:t>patient</w:t>
      </w:r>
      <w:r>
        <w:rPr>
          <w:spacing w:val="-4"/>
          <w:sz w:val="20"/>
        </w:rPr>
        <w:t xml:space="preserve"> </w:t>
      </w:r>
      <w:r>
        <w:rPr>
          <w:sz w:val="20"/>
        </w:rPr>
        <w:t>input)</w:t>
      </w:r>
      <w:r>
        <w:rPr>
          <w:spacing w:val="-4"/>
          <w:sz w:val="20"/>
        </w:rPr>
        <w:t xml:space="preserve"> </w:t>
      </w:r>
      <w:r>
        <w:rPr>
          <w:rFonts w:ascii="Symbol" w:hAnsi="Symbol"/>
          <w:sz w:val="20"/>
        </w:rPr>
        <w:t></w:t>
      </w:r>
      <w:r>
        <w:rPr>
          <w:rFonts w:ascii="Times New Roman" w:hAnsi="Times New Roman"/>
          <w:spacing w:val="-9"/>
          <w:sz w:val="20"/>
        </w:rPr>
        <w:t xml:space="preserve"> </w:t>
      </w:r>
      <w:r>
        <w:rPr>
          <w:sz w:val="20"/>
        </w:rPr>
        <w:t>provide</w:t>
      </w:r>
      <w:r>
        <w:rPr>
          <w:spacing w:val="-5"/>
          <w:sz w:val="20"/>
        </w:rPr>
        <w:t xml:space="preserve"> </w:t>
      </w:r>
      <w:r>
        <w:rPr>
          <w:sz w:val="20"/>
        </w:rPr>
        <w:t>intervention</w:t>
      </w:r>
      <w:r>
        <w:rPr>
          <w:spacing w:val="-3"/>
          <w:sz w:val="20"/>
        </w:rPr>
        <w:t xml:space="preserve"> </w:t>
      </w:r>
      <w:r>
        <w:rPr>
          <w:rFonts w:ascii="Symbol" w:hAnsi="Symbol"/>
          <w:sz w:val="20"/>
        </w:rPr>
        <w:t></w:t>
      </w:r>
      <w:r>
        <w:rPr>
          <w:rFonts w:ascii="Times New Roman" w:hAnsi="Times New Roman"/>
          <w:spacing w:val="-6"/>
          <w:sz w:val="20"/>
        </w:rPr>
        <w:t xml:space="preserve"> </w:t>
      </w:r>
      <w:r>
        <w:rPr>
          <w:sz w:val="20"/>
        </w:rPr>
        <w:t>evaluate</w:t>
      </w:r>
      <w:r>
        <w:rPr>
          <w:spacing w:val="-5"/>
          <w:sz w:val="20"/>
        </w:rPr>
        <w:t xml:space="preserve"> </w:t>
      </w:r>
      <w:r>
        <w:rPr>
          <w:sz w:val="20"/>
        </w:rPr>
        <w:t>impact</w:t>
      </w:r>
      <w:r>
        <w:rPr>
          <w:spacing w:val="-4"/>
          <w:sz w:val="20"/>
        </w:rPr>
        <w:t xml:space="preserve"> </w:t>
      </w:r>
      <w:r>
        <w:rPr>
          <w:sz w:val="20"/>
        </w:rPr>
        <w:t>on</w:t>
      </w:r>
      <w:r>
        <w:rPr>
          <w:spacing w:val="-3"/>
          <w:sz w:val="20"/>
        </w:rPr>
        <w:t xml:space="preserve"> </w:t>
      </w:r>
      <w:r>
        <w:rPr>
          <w:sz w:val="20"/>
        </w:rPr>
        <w:t>health</w:t>
      </w:r>
      <w:r>
        <w:rPr>
          <w:spacing w:val="-3"/>
          <w:sz w:val="20"/>
        </w:rPr>
        <w:t xml:space="preserve"> </w:t>
      </w:r>
      <w:r>
        <w:rPr>
          <w:sz w:val="20"/>
        </w:rPr>
        <w:t>status.</w:t>
      </w:r>
      <w:r>
        <w:rPr>
          <w:spacing w:val="-4"/>
          <w:sz w:val="20"/>
        </w:rPr>
        <w:t xml:space="preserve"> </w:t>
      </w:r>
      <w:r>
        <w:rPr>
          <w:sz w:val="20"/>
        </w:rPr>
        <w:t>If</w:t>
      </w:r>
      <w:r>
        <w:rPr>
          <w:spacing w:val="-5"/>
          <w:sz w:val="20"/>
        </w:rPr>
        <w:t xml:space="preserve"> </w:t>
      </w:r>
      <w:r>
        <w:rPr>
          <w:sz w:val="20"/>
        </w:rPr>
        <w:t>the</w:t>
      </w:r>
      <w:r>
        <w:rPr>
          <w:spacing w:val="-5"/>
          <w:sz w:val="20"/>
        </w:rPr>
        <w:t xml:space="preserve"> </w:t>
      </w:r>
      <w:r>
        <w:rPr>
          <w:sz w:val="20"/>
        </w:rPr>
        <w:t>measure</w:t>
      </w:r>
      <w:r>
        <w:rPr>
          <w:spacing w:val="-2"/>
          <w:sz w:val="20"/>
        </w:rPr>
        <w:t xml:space="preserve"> </w:t>
      </w:r>
      <w:r>
        <w:rPr>
          <w:sz w:val="20"/>
        </w:rPr>
        <w:t>focus</w:t>
      </w:r>
      <w:r>
        <w:rPr>
          <w:spacing w:val="-5"/>
          <w:sz w:val="20"/>
        </w:rPr>
        <w:t xml:space="preserve"> </w:t>
      </w:r>
      <w:r>
        <w:rPr>
          <w:sz w:val="20"/>
        </w:rPr>
        <w:t>is</w:t>
      </w:r>
      <w:r>
        <w:rPr>
          <w:spacing w:val="-5"/>
          <w:sz w:val="20"/>
        </w:rPr>
        <w:t xml:space="preserve"> </w:t>
      </w:r>
      <w:r>
        <w:rPr>
          <w:sz w:val="20"/>
        </w:rPr>
        <w:t>one</w:t>
      </w:r>
    </w:p>
    <w:p w14:paraId="08BD748E" w14:textId="77777777" w:rsidR="00C4496D" w:rsidRDefault="00C4496D">
      <w:pPr>
        <w:rPr>
          <w:sz w:val="20"/>
        </w:rPr>
        <w:sectPr w:rsidR="00C4496D">
          <w:footerReference w:type="default" r:id="rId13"/>
          <w:type w:val="continuous"/>
          <w:pgSz w:w="12240" w:h="15840"/>
          <w:pgMar w:top="1400" w:right="860" w:bottom="940" w:left="860" w:header="720" w:footer="746" w:gutter="0"/>
          <w:pgNumType w:start="1"/>
          <w:cols w:space="720"/>
        </w:sectPr>
      </w:pPr>
    </w:p>
    <w:p w14:paraId="672D2C8C" w14:textId="66D21DAB" w:rsidR="00C4496D" w:rsidRDefault="00895B79">
      <w:pPr>
        <w:pStyle w:val="BodyText"/>
        <w:ind w:left="111"/>
      </w:pPr>
      <w:r>
        <w:rPr>
          <w:rFonts w:ascii="Times New Roman"/>
          <w:spacing w:val="-49"/>
        </w:rPr>
        <w:lastRenderedPageBreak/>
        <w:t xml:space="preserve"> </w:t>
      </w:r>
      <w:r>
        <w:rPr>
          <w:noProof/>
          <w:spacing w:val="-49"/>
        </w:rPr>
        <mc:AlternateContent>
          <mc:Choice Requires="wps">
            <w:drawing>
              <wp:inline distT="0" distB="0" distL="0" distR="0" wp14:anchorId="29C36C63" wp14:editId="5DD245F1">
                <wp:extent cx="6532245" cy="626745"/>
                <wp:effectExtent l="7620" t="9525" r="13335" b="11430"/>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62674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AB31519" w14:textId="77777777" w:rsidR="00567E2E" w:rsidRDefault="00567E2E">
                            <w:pPr>
                              <w:pStyle w:val="BodyText"/>
                              <w:spacing w:before="1"/>
                              <w:ind w:left="103" w:right="779"/>
                            </w:pPr>
                            <w:r>
                              <w:t>step in such a multistep process, the step with the strongest evidence for the link to the desired outcome should be selected as the focus of measurement. Note: A measure focused only on collecting PROM data is not a PRO-PM.</w:t>
                            </w:r>
                          </w:p>
                          <w:p w14:paraId="233D3D4B" w14:textId="77777777" w:rsidR="00567E2E" w:rsidRDefault="00567E2E">
                            <w:pPr>
                              <w:pStyle w:val="BodyText"/>
                              <w:ind w:left="103" w:right="909"/>
                            </w:pPr>
                            <w:bookmarkStart w:id="6" w:name="_bookmark3"/>
                            <w:bookmarkEnd w:id="6"/>
                            <w:r>
                              <w:rPr>
                                <w:b/>
                              </w:rPr>
                              <w:t xml:space="preserve">6. </w:t>
                            </w:r>
                            <w:r>
                              <w:t xml:space="preserve">Measures of efficiency combine the concepts of resource use </w:t>
                            </w:r>
                            <w:r>
                              <w:rPr>
                                <w:u w:val="single"/>
                              </w:rPr>
                              <w:t>and</w:t>
                            </w:r>
                            <w:r>
                              <w:t xml:space="preserve"> quality (see NQF’s</w:t>
                            </w:r>
                            <w:r>
                              <w:rPr>
                                <w:color w:val="0000FF"/>
                              </w:rPr>
                              <w:t xml:space="preserve"> </w:t>
                            </w:r>
                            <w:hyperlink r:id="rId14">
                              <w:r>
                                <w:rPr>
                                  <w:color w:val="0000FF"/>
                                  <w:u w:val="single" w:color="0000FF"/>
                                </w:rPr>
                                <w:t>Measurement Framework:</w:t>
                              </w:r>
                            </w:hyperlink>
                            <w:hyperlink r:id="rId15">
                              <w:r>
                                <w:rPr>
                                  <w:color w:val="0000FF"/>
                                  <w:u w:val="single" w:color="0000FF"/>
                                </w:rPr>
                                <w:t xml:space="preserve"> Evaluating Efficiency Across Episodes of Care</w:t>
                              </w:r>
                              <w:r>
                                <w:t>;</w:t>
                              </w:r>
                            </w:hyperlink>
                            <w:hyperlink r:id="rId16">
                              <w:r>
                                <w:rPr>
                                  <w:color w:val="0000FF"/>
                                </w:rPr>
                                <w:t xml:space="preserve"> </w:t>
                              </w:r>
                              <w:r>
                                <w:rPr>
                                  <w:color w:val="0000FF"/>
                                  <w:u w:val="single" w:color="0000FF"/>
                                </w:rPr>
                                <w:t>AQA Principles of Efficiency Measures</w:t>
                              </w:r>
                            </w:hyperlink>
                            <w:r>
                              <w:t>).</w:t>
                            </w:r>
                          </w:p>
                        </w:txbxContent>
                      </wps:txbx>
                      <wps:bodyPr rot="0" vert="horz" wrap="square" lIns="0" tIns="0" rIns="0" bIns="0" anchor="t" anchorCtr="0" upright="1">
                        <a:noAutofit/>
                      </wps:bodyPr>
                    </wps:wsp>
                  </a:graphicData>
                </a:graphic>
              </wp:inline>
            </w:drawing>
          </mc:Choice>
          <mc:Fallback>
            <w:pict>
              <v:shape w14:anchorId="29C36C63" id="Text Box 3" o:spid="_x0000_s1027" type="#_x0000_t202" style="width:514.35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abhQIAAB8FAAAOAAAAZHJzL2Uyb0RvYy54bWysVG1v2yAQ/j5p/wHxPbWdum5q1am6OJkm&#10;dS9Sux9AAMdoGDwgsbtp/30HxGm7fpmm+YN9hruHe+6e4/pm7CQ6cGOFVhXOzlKMuKKaCbWr8NeH&#10;zWyBkXVEMSK14hV+5BbfLN++uR76ks91qyXjBgGIsuXQV7h1ri+TxNKWd8Se6Z4r2Gy06YiDX7NL&#10;mCEDoHcymadpkQzasN5oyq2F1Tpu4mXAbxpO3eemsdwhWWHIzYW3Ce+tfyfLa1LuDOlbQY9pkH/I&#10;oiNCwaEnqJo4gvZGvILqBDXa6sadUd0lumkE5YEDsMnSP9jct6TngQsUx/anMtn/B0s/Hb4YJFiF&#10;c4wU6aBFD3x06J0e0bmvztDbEpzue3BzIyxDlwNT299p+s0ipVctUTt+a4weWk4YZJf5yORZaMSx&#10;HmQ7fNQMjiF7pwPQ2JjOlw6KgQAduvR46oxPhcJicXE+n+cXGFHYK+bFJdj+CFJO0b2x7j3XHfJG&#10;hQ10PqCTw5110XVy8YcpvRFSwjoppUIDgKZXReSlpWB+0+9Zs9uupEEH4vUTnuO59rmbR66JbaNf&#10;2PJupOyEA3lL0VV4cYompS/TWrHg4oiQ0QY2UvkoYA1JH60oo59X6dV6sV7ks3xerGd5Wtez280q&#10;nxWb7PKiPq9Xqzr75QlkedkKxrjyHCZJZ/nfSeY4XFGMJ1G/4PqiJJvwvC5J8jKN0ClgNX0Du6AP&#10;L4koDjduxyDEIB6vna1mjyAYo+PUwi0DRqvND4wGmNgK2+97YjhG8oMC0fnxngwzGdvJIIpCaIUd&#10;RtFcuXgN7Hsjdi0gR1krfQvCbETQzFMWRznDFAYOxxvDj/nz/+D1dK8tfwMAAP//AwBQSwMEFAAG&#10;AAgAAAAhAC+zfFPaAAAABQEAAA8AAABkcnMvZG93bnJldi54bWxMj8FOw0AMRO9I/MPKSNzohkqB&#10;kMapEGovHJDS9gO2WZOkZL1R1m3C37PlAhePrLFmnov17Hp1oTF0nhEeFwko4trbjhuEw377kIEK&#10;Ytia3jMhfFOAdXl7U5jc+okruuykUTGEQ24QWpEh1zrULTkTFn4gjt6nH52RuI6NtqOZYrjr9TJJ&#10;nrQzHceG1gz01lL9tTs7BKpOnffbbKoGaQ7vYZOmm48U8f5ufl2BEprl7xiu+BEdysh09Ge2QfUI&#10;8RH5nVcvWWbPoI4IL1F1Wej/9OUPAAAA//8DAFBLAQItABQABgAIAAAAIQC2gziS/gAAAOEBAAAT&#10;AAAAAAAAAAAAAAAAAAAAAABbQ29udGVudF9UeXBlc10ueG1sUEsBAi0AFAAGAAgAAAAhADj9If/W&#10;AAAAlAEAAAsAAAAAAAAAAAAAAAAALwEAAF9yZWxzLy5yZWxzUEsBAi0AFAAGAAgAAAAhAFkh1puF&#10;AgAAHwUAAA4AAAAAAAAAAAAAAAAALgIAAGRycy9lMm9Eb2MueG1sUEsBAi0AFAAGAAgAAAAhAC+z&#10;fFPaAAAABQEAAA8AAAAAAAAAAAAAAAAA3wQAAGRycy9kb3ducmV2LnhtbFBLBQYAAAAABAAEAPMA&#10;AADmBQAAAAA=&#10;" filled="f" strokeweight=".48pt">
                <v:textbox inset="0,0,0,0">
                  <w:txbxContent>
                    <w:p w14:paraId="5AB31519" w14:textId="77777777" w:rsidR="00567E2E" w:rsidRDefault="00567E2E">
                      <w:pPr>
                        <w:pStyle w:val="BodyText"/>
                        <w:spacing w:before="1"/>
                        <w:ind w:left="103" w:right="779"/>
                      </w:pPr>
                      <w:r>
                        <w:t>step in such a multistep process, the step with the strongest evidence for the link to the desired outcome should be selected as the focus of measurement. Note: A measure focused only on collecting PROM data is not a PRO-PM.</w:t>
                      </w:r>
                    </w:p>
                    <w:p w14:paraId="233D3D4B" w14:textId="77777777" w:rsidR="00567E2E" w:rsidRDefault="00567E2E">
                      <w:pPr>
                        <w:pStyle w:val="BodyText"/>
                        <w:ind w:left="103" w:right="909"/>
                      </w:pPr>
                      <w:bookmarkStart w:id="7" w:name="_bookmark3"/>
                      <w:bookmarkEnd w:id="7"/>
                      <w:r>
                        <w:rPr>
                          <w:b/>
                        </w:rPr>
                        <w:t xml:space="preserve">6. </w:t>
                      </w:r>
                      <w:r>
                        <w:t xml:space="preserve">Measures of efficiency combine the concepts of resource use </w:t>
                      </w:r>
                      <w:r>
                        <w:rPr>
                          <w:u w:val="single"/>
                        </w:rPr>
                        <w:t>and</w:t>
                      </w:r>
                      <w:r>
                        <w:t xml:space="preserve"> quality (see NQF’s</w:t>
                      </w:r>
                      <w:r>
                        <w:rPr>
                          <w:color w:val="0000FF"/>
                        </w:rPr>
                        <w:t xml:space="preserve"> </w:t>
                      </w:r>
                      <w:hyperlink r:id="rId17">
                        <w:r>
                          <w:rPr>
                            <w:color w:val="0000FF"/>
                            <w:u w:val="single" w:color="0000FF"/>
                          </w:rPr>
                          <w:t>Measurement Framework:</w:t>
                        </w:r>
                      </w:hyperlink>
                      <w:hyperlink r:id="rId18">
                        <w:r>
                          <w:rPr>
                            <w:color w:val="0000FF"/>
                            <w:u w:val="single" w:color="0000FF"/>
                          </w:rPr>
                          <w:t xml:space="preserve"> Evaluating Efficiency Across Episodes of Care</w:t>
                        </w:r>
                        <w:r>
                          <w:t>;</w:t>
                        </w:r>
                      </w:hyperlink>
                      <w:hyperlink r:id="rId19">
                        <w:r>
                          <w:rPr>
                            <w:color w:val="0000FF"/>
                          </w:rPr>
                          <w:t xml:space="preserve"> </w:t>
                        </w:r>
                        <w:r>
                          <w:rPr>
                            <w:color w:val="0000FF"/>
                            <w:u w:val="single" w:color="0000FF"/>
                          </w:rPr>
                          <w:t>AQA Principles of Efficiency Measures</w:t>
                        </w:r>
                      </w:hyperlink>
                      <w:r>
                        <w:t>).</w:t>
                      </w:r>
                    </w:p>
                  </w:txbxContent>
                </v:textbox>
                <w10:anchorlock/>
              </v:shape>
            </w:pict>
          </mc:Fallback>
        </mc:AlternateContent>
      </w:r>
    </w:p>
    <w:p w14:paraId="4B12E335" w14:textId="77777777" w:rsidR="00C4496D" w:rsidRDefault="00C4496D">
      <w:pPr>
        <w:pStyle w:val="BodyText"/>
        <w:spacing w:before="6"/>
        <w:rPr>
          <w:sz w:val="14"/>
        </w:rPr>
      </w:pPr>
    </w:p>
    <w:p w14:paraId="2EA334C2" w14:textId="7CF6925A" w:rsidR="00C4496D" w:rsidRDefault="00895B79" w:rsidP="003F249B">
      <w:pPr>
        <w:spacing w:before="56"/>
        <w:ind w:left="111" w:right="2273"/>
      </w:pPr>
      <w:r w:rsidRPr="00666A2E">
        <w:rPr>
          <w:b/>
        </w:rPr>
        <w:t>1a.1.This is a measure of</w:t>
      </w:r>
      <w:r w:rsidRPr="00666A2E">
        <w:t>:</w:t>
      </w:r>
      <w:r>
        <w:t xml:space="preserve"> (</w:t>
      </w:r>
      <w:r>
        <w:rPr>
          <w:i/>
        </w:rPr>
        <w:t>should be consistent with type of measure entered in De.1</w:t>
      </w:r>
      <w:r>
        <w:t>)</w:t>
      </w:r>
    </w:p>
    <w:p w14:paraId="462BBB69" w14:textId="083322C4" w:rsidR="00C4496D" w:rsidRPr="00202A2A" w:rsidRDefault="00895B79" w:rsidP="003F249B">
      <w:pPr>
        <w:spacing w:line="266" w:lineRule="exact"/>
        <w:ind w:left="111"/>
        <w:rPr>
          <w:color w:val="FF0000"/>
        </w:rPr>
      </w:pPr>
      <w:r w:rsidRPr="00B75FE5">
        <w:rPr>
          <w:rFonts w:ascii="MS Gothic" w:hAnsi="MS Gothic"/>
          <w:color w:val="0000FF"/>
          <w:highlight w:val="yellow"/>
        </w:rPr>
        <w:t>□</w:t>
      </w:r>
      <w:r w:rsidRPr="00B75FE5">
        <w:rPr>
          <w:rFonts w:ascii="MS Gothic" w:hAnsi="MS Gothic"/>
          <w:color w:val="0000FF"/>
          <w:spacing w:val="-79"/>
          <w:highlight w:val="yellow"/>
        </w:rPr>
        <w:t xml:space="preserve"> </w:t>
      </w:r>
      <w:r w:rsidRPr="00B75FE5">
        <w:rPr>
          <w:highlight w:val="yellow"/>
        </w:rPr>
        <w:t xml:space="preserve">Outcome: </w:t>
      </w:r>
      <w:r w:rsidR="00202A2A" w:rsidRPr="00202A2A">
        <w:rPr>
          <w:color w:val="FF0000"/>
        </w:rPr>
        <w:t>Nulliparous women with a term, singleton baby in a vertex position delivered by cesarean birth</w:t>
      </w:r>
    </w:p>
    <w:p w14:paraId="16C1892F" w14:textId="77777777" w:rsidR="00C4496D" w:rsidRDefault="00895B79" w:rsidP="003F249B">
      <w:pPr>
        <w:spacing w:line="301" w:lineRule="exact"/>
        <w:ind w:left="543"/>
      </w:pPr>
      <w:r w:rsidRPr="00E05D2A">
        <w:rPr>
          <w:rFonts w:ascii="MS Gothic" w:hAnsi="MS Gothic"/>
          <w:color w:val="0000FF"/>
        </w:rPr>
        <w:t>☐</w:t>
      </w:r>
      <w:r w:rsidRPr="00E05D2A">
        <w:t>Patient-reported outcome (PRO):</w:t>
      </w:r>
      <w:r>
        <w:t xml:space="preserve"> </w:t>
      </w:r>
      <w:r>
        <w:rPr>
          <w:color w:val="A7A8A7"/>
        </w:rPr>
        <w:t>Click here to name the PRO</w:t>
      </w:r>
    </w:p>
    <w:p w14:paraId="19B881FB" w14:textId="77777777" w:rsidR="00C4496D" w:rsidRDefault="00895B79" w:rsidP="003F249B">
      <w:pPr>
        <w:spacing w:before="4"/>
        <w:ind w:left="831" w:right="595"/>
        <w:rPr>
          <w:i/>
        </w:rPr>
      </w:pPr>
      <w:r>
        <w:rPr>
          <w:i/>
        </w:rPr>
        <w:t xml:space="preserve">PROs include HRQoL/functional status, symptom/symptom burden, experience with care, health- related behaviors. </w:t>
      </w:r>
      <w:r>
        <w:t>(</w:t>
      </w:r>
      <w:r>
        <w:rPr>
          <w:i/>
        </w:rPr>
        <w:t>A PRO-based performance measure is not a survey instrument. Data may be collected using a survey instrument to construct a PRO measure.)</w:t>
      </w:r>
    </w:p>
    <w:p w14:paraId="565F2C9C" w14:textId="77777777" w:rsidR="00C4496D" w:rsidRDefault="00895B79" w:rsidP="003F249B">
      <w:pPr>
        <w:spacing w:before="1" w:line="279" w:lineRule="exact"/>
        <w:ind w:left="111"/>
      </w:pPr>
      <w:r>
        <w:rPr>
          <w:rFonts w:ascii="Segoe UI Symbol" w:hAnsi="Segoe UI Symbol"/>
          <w:color w:val="0000FF"/>
        </w:rPr>
        <w:t xml:space="preserve">□ </w:t>
      </w:r>
      <w:r>
        <w:t>Intermediate clinical outcome (</w:t>
      </w:r>
      <w:r>
        <w:rPr>
          <w:i/>
        </w:rPr>
        <w:t>e.g., lab value</w:t>
      </w:r>
      <w:r>
        <w:t xml:space="preserve">): </w:t>
      </w:r>
      <w:r>
        <w:rPr>
          <w:color w:val="A7A8A7"/>
        </w:rPr>
        <w:t>Click here to name the intermediate outcome</w:t>
      </w:r>
    </w:p>
    <w:p w14:paraId="1C3F3FE1" w14:textId="77777777" w:rsidR="00C4496D" w:rsidRDefault="00895B79" w:rsidP="003F249B">
      <w:pPr>
        <w:pStyle w:val="ListParagraph"/>
        <w:numPr>
          <w:ilvl w:val="0"/>
          <w:numId w:val="3"/>
        </w:numPr>
        <w:tabs>
          <w:tab w:val="left" w:pos="851"/>
        </w:tabs>
        <w:spacing w:line="283" w:lineRule="exact"/>
        <w:ind w:left="382" w:hanging="271"/>
      </w:pPr>
      <w:r>
        <w:t xml:space="preserve">Process:  </w:t>
      </w:r>
      <w:r>
        <w:rPr>
          <w:color w:val="A7A8A7"/>
        </w:rPr>
        <w:t>Click here to name what is being</w:t>
      </w:r>
      <w:r>
        <w:rPr>
          <w:color w:val="A7A8A7"/>
          <w:spacing w:val="-24"/>
        </w:rPr>
        <w:t xml:space="preserve"> </w:t>
      </w:r>
      <w:r>
        <w:rPr>
          <w:color w:val="A7A8A7"/>
        </w:rPr>
        <w:t>measured</w:t>
      </w:r>
    </w:p>
    <w:p w14:paraId="41826119" w14:textId="327D776C" w:rsidR="00C4496D" w:rsidRDefault="00895B79" w:rsidP="003F249B">
      <w:pPr>
        <w:spacing w:line="286" w:lineRule="exact"/>
        <w:ind w:left="553"/>
      </w:pPr>
      <w:r>
        <w:rPr>
          <w:noProof/>
        </w:rPr>
        <mc:AlternateContent>
          <mc:Choice Requires="wps">
            <w:drawing>
              <wp:anchor distT="0" distB="0" distL="114300" distR="114300" simplePos="0" relativeHeight="251661312" behindDoc="1" locked="0" layoutInCell="1" allowOverlap="1" wp14:anchorId="3437FCD4" wp14:editId="6BD3AC14">
                <wp:simplePos x="0" y="0"/>
                <wp:positionH relativeFrom="page">
                  <wp:posOffset>2915285</wp:posOffset>
                </wp:positionH>
                <wp:positionV relativeFrom="paragraph">
                  <wp:posOffset>173355</wp:posOffset>
                </wp:positionV>
                <wp:extent cx="32385" cy="0"/>
                <wp:effectExtent l="10160" t="8255" r="5080" b="1079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 cy="0"/>
                        </a:xfrm>
                        <a:prstGeom prst="line">
                          <a:avLst/>
                        </a:prstGeom>
                        <a:noFill/>
                        <a:ln w="9144">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3D3099" id="Line 2"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9.55pt,13.65pt" to="232.1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sSbHAIAAD8EAAAOAAAAZHJzL2Uyb0RvYy54bWysU8GO2jAQvVfqP1i+QwhkKUSEVZWQXmiL&#10;tNsPMLZDrDq2ZRsCqvrvHTuA2PZSVc3BGXtmnt/MPK+ez51EJ26d0KrA6XiCEVdUM6EOBf72Wo8W&#10;GDlPFCNSK17gC3f4ef3+3ao3OZ/qVkvGLQIQ5fLeFLj13uRJ4mjLO+LG2nAFzkbbjnjY2kPCLOkB&#10;vZPJdDKZJ722zFhNuXNwWg1OvI74TcOp/9o0jnskCwzcfFxtXPdhTdYrkh8sMa2gVxrkH1h0RCi4&#10;9A5VEU/Q0Yo/oDpBrXa68WOqu0Q3jaA81gDVpJPfqnlpieGxFmiOM/c2uf8HS7+cdhYJVuAZRop0&#10;MKKtUBxNQ2d643IIKNXOhtroWb2YrabfHVK6bIk68Mjw9WIgLQ0ZyZuUsHEG8Pf9Z80ghhy9jm06&#10;N7YLkNAAdI7TuNynwc8eUTicTWeLJ4zozZOQ/JZmrPOfuO5QMAosgXGEJaet84EGyW8h4RalayFl&#10;HLVUqC/wMs2ymOC0FCw4Q5izh30pLTqRIBb46jrWBJ7HsIBcEdcOcdE1yMjqo2LxlpYTtrnangg5&#10;2MBKqnARVAg8r9Ygkx/LyXKz2CyyUTadb0bZpKpGH+syG83r9MNTNavKskp/Bs5plreCMa4C7Ztk&#10;0+zvJHF9PIPY7qK99yd5ix4bCWRv/0g6jjhMddDHXrPLzt5GDyqNwdcXFZ7B4x7sx3e//gUAAP//&#10;AwBQSwMEFAAGAAgAAAAhAH8SIrbfAAAACQEAAA8AAABkcnMvZG93bnJldi54bWxMj8tOwzAQRfdI&#10;/IM1SGwQdRpCCyFOhSohlhUFle3Udh4kHgfbTUO/HiMWsJyZozvnFqvJ9GzUzreWBMxnCTBN0qqW&#10;agFvr0/Xd8B8QFLYW9ICvrSHVXl+VmCu7JFe9LgNNYsh5HMU0IQw5Jx72WiDfmYHTfFWWWcwxNHV&#10;XDk8xnDT8zRJFtxgS/FDg4NeN1p224MR0FZyc+qe36/Wo9x97urOVfixFOLyYnp8ABb0FP5g+NGP&#10;6lBGp709kPKsF5Dd3s8jKiBd3gCLQLbIUmD73wUvC/6/QfkNAAD//wMAUEsBAi0AFAAGAAgAAAAh&#10;ALaDOJL+AAAA4QEAABMAAAAAAAAAAAAAAAAAAAAAAFtDb250ZW50X1R5cGVzXS54bWxQSwECLQAU&#10;AAYACAAAACEAOP0h/9YAAACUAQAACwAAAAAAAAAAAAAAAAAvAQAAX3JlbHMvLnJlbHNQSwECLQAU&#10;AAYACAAAACEAwY7EmxwCAAA/BAAADgAAAAAAAAAAAAAAAAAuAgAAZHJzL2Uyb0RvYy54bWxQSwEC&#10;LQAUAAYACAAAACEAfxIitt8AAAAJAQAADwAAAAAAAAAAAAAAAAB2BAAAZHJzL2Rvd25yZXYueG1s&#10;UEsFBgAAAAAEAAQA8wAAAIIFAAAAAA==&#10;" strokecolor="blue" strokeweight=".72pt">
                <w10:wrap anchorx="page"/>
              </v:line>
            </w:pict>
          </mc:Fallback>
        </mc:AlternateContent>
      </w:r>
      <w:r>
        <w:rPr>
          <w:rFonts w:ascii="MS Gothic" w:hAnsi="MS Gothic"/>
          <w:color w:val="0000FF"/>
        </w:rPr>
        <w:t xml:space="preserve">□ </w:t>
      </w:r>
      <w:r>
        <w:t>Appropriate use measure:  Click here to name what is being measured</w:t>
      </w:r>
    </w:p>
    <w:p w14:paraId="41D3C510" w14:textId="77777777" w:rsidR="00C4496D" w:rsidRDefault="00895B79" w:rsidP="003F249B">
      <w:pPr>
        <w:pStyle w:val="ListParagraph"/>
        <w:numPr>
          <w:ilvl w:val="0"/>
          <w:numId w:val="3"/>
        </w:numPr>
        <w:tabs>
          <w:tab w:val="left" w:pos="852"/>
        </w:tabs>
        <w:spacing w:line="284" w:lineRule="exact"/>
        <w:ind w:left="383" w:hanging="271"/>
      </w:pPr>
      <w:r>
        <w:t xml:space="preserve">Structure:  </w:t>
      </w:r>
      <w:r>
        <w:rPr>
          <w:color w:val="A7A8A7"/>
        </w:rPr>
        <w:t>Click here to name the</w:t>
      </w:r>
      <w:r>
        <w:rPr>
          <w:color w:val="A7A8A7"/>
          <w:spacing w:val="-16"/>
        </w:rPr>
        <w:t xml:space="preserve"> </w:t>
      </w:r>
      <w:r>
        <w:rPr>
          <w:color w:val="A7A8A7"/>
        </w:rPr>
        <w:t>structure</w:t>
      </w:r>
    </w:p>
    <w:p w14:paraId="743BCD80" w14:textId="77777777" w:rsidR="00C4496D" w:rsidRDefault="00895B79" w:rsidP="003F249B">
      <w:pPr>
        <w:pStyle w:val="ListParagraph"/>
        <w:numPr>
          <w:ilvl w:val="0"/>
          <w:numId w:val="3"/>
        </w:numPr>
        <w:tabs>
          <w:tab w:val="left" w:pos="852"/>
        </w:tabs>
        <w:spacing w:line="300" w:lineRule="exact"/>
        <w:ind w:left="383" w:hanging="271"/>
      </w:pPr>
      <w:r>
        <w:t xml:space="preserve">Composite:  </w:t>
      </w:r>
      <w:r>
        <w:rPr>
          <w:color w:val="A7A8A7"/>
        </w:rPr>
        <w:t>Click here to name what is being</w:t>
      </w:r>
      <w:r>
        <w:rPr>
          <w:color w:val="A7A8A7"/>
          <w:spacing w:val="-23"/>
        </w:rPr>
        <w:t xml:space="preserve"> </w:t>
      </w:r>
      <w:r>
        <w:rPr>
          <w:color w:val="A7A8A7"/>
        </w:rPr>
        <w:t>measured</w:t>
      </w:r>
    </w:p>
    <w:p w14:paraId="3547ADC6" w14:textId="77777777" w:rsidR="00C4496D" w:rsidRDefault="00C4496D" w:rsidP="003F249B">
      <w:pPr>
        <w:pStyle w:val="BodyText"/>
        <w:spacing w:before="5"/>
        <w:rPr>
          <w:sz w:val="22"/>
        </w:rPr>
      </w:pPr>
    </w:p>
    <w:p w14:paraId="0A7B923D" w14:textId="41A5E622" w:rsidR="000C7A05" w:rsidRPr="00666A2E" w:rsidRDefault="00895B79" w:rsidP="003F249B">
      <w:pPr>
        <w:ind w:left="543" w:right="636" w:hanging="432"/>
        <w:rPr>
          <w:b/>
        </w:rPr>
      </w:pPr>
      <w:r w:rsidRPr="00666A2E">
        <w:rPr>
          <w:b/>
        </w:rPr>
        <w:t xml:space="preserve">1a.2 LOGIC MODEL </w:t>
      </w:r>
      <w:r w:rsidR="000C7A05" w:rsidRPr="00666A2E">
        <w:t>Outcome Complete for all measures</w:t>
      </w:r>
    </w:p>
    <w:p w14:paraId="19E24B97" w14:textId="3E821AFC" w:rsidR="00C4496D" w:rsidRDefault="00895B79" w:rsidP="003F249B">
      <w:pPr>
        <w:ind w:left="543" w:right="636" w:hanging="432"/>
        <w:rPr>
          <w:b/>
          <w:bCs/>
          <w:color w:val="FF0000"/>
        </w:rPr>
      </w:pPr>
      <w:r>
        <w:t>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r w:rsidR="000C7A05" w:rsidRPr="000C7A05">
        <w:rPr>
          <w:color w:val="FF0000"/>
        </w:rPr>
        <w:t xml:space="preserve"> </w:t>
      </w:r>
    </w:p>
    <w:p w14:paraId="1D0D460F" w14:textId="70302C00" w:rsidR="00534AF0" w:rsidRDefault="00534AF0">
      <w:pPr>
        <w:ind w:left="1011" w:right="636" w:hanging="432"/>
        <w:rPr>
          <w:b/>
          <w:bCs/>
          <w:color w:val="FF0000"/>
        </w:rPr>
      </w:pPr>
    </w:p>
    <w:p w14:paraId="7EBDE918" w14:textId="2EBC1297" w:rsidR="00534AF0" w:rsidRDefault="00534AF0">
      <w:pPr>
        <w:ind w:left="1011" w:right="636" w:hanging="432"/>
        <w:rPr>
          <w:b/>
          <w:bCs/>
          <w:color w:val="FF0000"/>
        </w:rPr>
      </w:pPr>
      <w:r>
        <w:rPr>
          <w:noProof/>
        </w:rPr>
        <mc:AlternateContent>
          <mc:Choice Requires="wps">
            <w:drawing>
              <wp:anchor distT="0" distB="0" distL="114300" distR="114300" simplePos="0" relativeHeight="251663360" behindDoc="0" locked="0" layoutInCell="1" allowOverlap="1" wp14:anchorId="4939CA6A" wp14:editId="1FBCB11F">
                <wp:simplePos x="0" y="0"/>
                <wp:positionH relativeFrom="margin">
                  <wp:align>left</wp:align>
                </wp:positionH>
                <wp:positionV relativeFrom="paragraph">
                  <wp:posOffset>37465</wp:posOffset>
                </wp:positionV>
                <wp:extent cx="904875" cy="1327150"/>
                <wp:effectExtent l="0" t="0" r="28575" b="25400"/>
                <wp:wrapNone/>
                <wp:docPr id="17" name="Rectangle 17"/>
                <wp:cNvGraphicFramePr/>
                <a:graphic xmlns:a="http://schemas.openxmlformats.org/drawingml/2006/main">
                  <a:graphicData uri="http://schemas.microsoft.com/office/word/2010/wordprocessingShape">
                    <wps:wsp>
                      <wps:cNvSpPr/>
                      <wps:spPr>
                        <a:xfrm>
                          <a:off x="0" y="0"/>
                          <a:ext cx="904875" cy="1327150"/>
                        </a:xfrm>
                        <a:prstGeom prst="rect">
                          <a:avLst/>
                        </a:prstGeom>
                        <a:solidFill>
                          <a:srgbClr val="4F81BD">
                            <a:lumMod val="60000"/>
                            <a:lumOff val="40000"/>
                          </a:srgbClr>
                        </a:solidFill>
                        <a:ln w="3175" cap="flat" cmpd="sng" algn="ctr">
                          <a:solidFill>
                            <a:srgbClr val="4F81BD">
                              <a:shade val="50000"/>
                            </a:srgbClr>
                          </a:solidFill>
                          <a:prstDash val="solid"/>
                        </a:ln>
                        <a:effectLst/>
                      </wps:spPr>
                      <wps:txbx>
                        <w:txbxContent>
                          <w:p w14:paraId="68A2D3DC" w14:textId="5408C77C" w:rsidR="00567E2E" w:rsidRPr="00C14AAE" w:rsidRDefault="00567E2E" w:rsidP="00534AF0">
                            <w:pPr>
                              <w:jc w:val="center"/>
                              <w:rPr>
                                <w:sz w:val="20"/>
                              </w:rPr>
                            </w:pPr>
                            <w:r>
                              <w:rPr>
                                <w:sz w:val="20"/>
                              </w:rPr>
                              <w:t>P</w:t>
                            </w:r>
                            <w:r w:rsidR="00E374C9">
                              <w:rPr>
                                <w:sz w:val="20"/>
                              </w:rPr>
                              <w:t>atients admitted with delivery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39CA6A" id="Rectangle 17" o:spid="_x0000_s1028" style="position:absolute;left:0;text-align:left;margin-left:0;margin-top:2.95pt;width:71.25pt;height:104.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iNqjwIAAEcFAAAOAAAAZHJzL2Uyb0RvYy54bWysVMlu2zAQvRfoPxC8N7IcO06MyIEbw0WB&#10;NAmaFDnTFLUA3ErSltOv7yMlZ+2hKKoDxVk4w3lvhucXeyXJTjjfGl3Q/GhEidDclK2uC/rjfv3p&#10;lBIfmC6ZNFoU9FF4erH4+OG8s3MxNo2RpXAEQbSfd7agTQh2nmWeN0Ixf2Ss0DBWxikWILo6Kx3r&#10;EF3JbDwanWSdcaV1hgvvoV31RrpI8atK8HBTVV4EIguKu4W0urRu4potztm8dsw2LR+uwf7hFoq1&#10;GkmfQq1YYGTr2nehVMud8aYKR9yozFRVy0WqAdXkozfV3DXMilQLwPH2CSb//8Ly692tI20J7maU&#10;aKbA0XegxnQtBYEOAHXWz+F3Z2/dIHlsY7X7yqn4Rx1kn0B9fAJV7APhUJ6NJqezKSUcpvx4PMun&#10;CfXs+bR1PnwRRpG4KahD+oQl2135gIxwPbjEZN7Itly3UibB1ZtL6ciOgeDJ+jT/vEpn5VZ9M2Wv&#10;Phnh65mGGv0weB/UiO/7MCnXq/hSk66gx3mqgKFBK8kCilEWkHldU8Jkjc7nwaW8rw4PUd9dzjes&#10;FL12+jeXiNWvmG/6IylFLAf3ljqCIFKjD2BFtnp+4i7sN/tE7/jA5MaUj6DcmX4WvOXrFvGvmA+3&#10;zKH5MSYY6HCDpZIG1ZthR0lj3K8/6aM/ehJWSjoME6D5uWVOUCK/anTrWT6ZxOlLwmQ6G0NwLy2b&#10;lxa9VZcGdOZ4OixP2+gf5GFbOaMeMPfLmBUmpjly9yQMwmXohxwvBxfLZXLDxFkWrvSd5TF4RC4i&#10;e79/YM4OzRfQttfmMHhs/qYHe994UpvlNpiqTQ0ake5xBStRwLQmfoaXJT4HL+Xk9fz+LX4DAAD/&#10;/wMAUEsDBBQABgAIAAAAIQDj9kv23QAAAAYBAAAPAAAAZHJzL2Rvd25yZXYueG1sTI9BS8NAFITv&#10;gv9heYKXYjdNU7UxL6UEpGdTpXjbJs8kmH0bdrdN+u/dnupxmGHmm2wz6V6cybrOMMJiHoEgrkzd&#10;cYPwuX9/egXhvOJa9YYJ4UIONvn9XabS2oz8QefSNyKUsEsVQuv9kErpqpa0cnMzEAfvx1itfJC2&#10;kbVVYyjXvYyj6Flq1XFYaNVARUvVb3nSCLvZcjvaZLkrSr3/OswK+324vCA+PkzbNxCeJn8LwxU/&#10;oEMemI7mxLUTPUI44hFWaxBXM4lXII4I8SJZg8wz+R8//wMAAP//AwBQSwECLQAUAAYACAAAACEA&#10;toM4kv4AAADhAQAAEwAAAAAAAAAAAAAAAAAAAAAAW0NvbnRlbnRfVHlwZXNdLnhtbFBLAQItABQA&#10;BgAIAAAAIQA4/SH/1gAAAJQBAAALAAAAAAAAAAAAAAAAAC8BAABfcmVscy8ucmVsc1BLAQItABQA&#10;BgAIAAAAIQDCPiNqjwIAAEcFAAAOAAAAAAAAAAAAAAAAAC4CAABkcnMvZTJvRG9jLnhtbFBLAQIt&#10;ABQABgAIAAAAIQDj9kv23QAAAAYBAAAPAAAAAAAAAAAAAAAAAOkEAABkcnMvZG93bnJldi54bWxQ&#10;SwUGAAAAAAQABADzAAAA8wUAAAAA&#10;" fillcolor="#95b3d7" strokecolor="#385d8a" strokeweight=".25pt">
                <v:textbox>
                  <w:txbxContent>
                    <w:p w14:paraId="68A2D3DC" w14:textId="5408C77C" w:rsidR="00567E2E" w:rsidRPr="00C14AAE" w:rsidRDefault="00567E2E" w:rsidP="00534AF0">
                      <w:pPr>
                        <w:jc w:val="center"/>
                        <w:rPr>
                          <w:sz w:val="20"/>
                        </w:rPr>
                      </w:pPr>
                      <w:r>
                        <w:rPr>
                          <w:sz w:val="20"/>
                        </w:rPr>
                        <w:t>P</w:t>
                      </w:r>
                      <w:r w:rsidR="00E374C9">
                        <w:rPr>
                          <w:sz w:val="20"/>
                        </w:rPr>
                        <w:t>atients admitted with delivery procedure</w:t>
                      </w:r>
                    </w:p>
                  </w:txbxContent>
                </v:textbox>
                <w10:wrap anchorx="margin"/>
              </v:rect>
            </w:pict>
          </mc:Fallback>
        </mc:AlternateContent>
      </w:r>
    </w:p>
    <w:p w14:paraId="75651901" w14:textId="535A2807" w:rsidR="00151940" w:rsidRDefault="00B941C1">
      <w:pPr>
        <w:ind w:left="1011" w:right="636" w:hanging="432"/>
        <w:rPr>
          <w:b/>
          <w:bCs/>
          <w:color w:val="FF0000"/>
        </w:rPr>
      </w:pPr>
      <w:r>
        <w:rPr>
          <w:noProof/>
        </w:rPr>
        <mc:AlternateContent>
          <mc:Choice Requires="wps">
            <w:drawing>
              <wp:anchor distT="0" distB="0" distL="114300" distR="114300" simplePos="0" relativeHeight="251669504" behindDoc="0" locked="0" layoutInCell="1" allowOverlap="1" wp14:anchorId="5FC66EFD" wp14:editId="0436F27B">
                <wp:simplePos x="0" y="0"/>
                <wp:positionH relativeFrom="margin">
                  <wp:posOffset>5194300</wp:posOffset>
                </wp:positionH>
                <wp:positionV relativeFrom="paragraph">
                  <wp:posOffset>32385</wp:posOffset>
                </wp:positionV>
                <wp:extent cx="1257300" cy="104775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1257300" cy="1047750"/>
                        </a:xfrm>
                        <a:prstGeom prst="rect">
                          <a:avLst/>
                        </a:prstGeom>
                        <a:solidFill>
                          <a:srgbClr val="4F81BD">
                            <a:lumMod val="60000"/>
                            <a:lumOff val="40000"/>
                          </a:srgbClr>
                        </a:solidFill>
                        <a:ln w="3175" cap="flat" cmpd="sng" algn="ctr">
                          <a:solidFill>
                            <a:srgbClr val="4F81BD">
                              <a:shade val="50000"/>
                            </a:srgbClr>
                          </a:solidFill>
                          <a:prstDash val="solid"/>
                        </a:ln>
                        <a:effectLst/>
                      </wps:spPr>
                      <wps:txbx>
                        <w:txbxContent>
                          <w:p w14:paraId="7EA24FF5" w14:textId="6CF2FC2B" w:rsidR="00567E2E" w:rsidRPr="00C14AAE" w:rsidRDefault="00B941C1" w:rsidP="00F03FA3">
                            <w:pPr>
                              <w:jc w:val="center"/>
                              <w:rPr>
                                <w:sz w:val="20"/>
                              </w:rPr>
                            </w:pPr>
                            <w:r>
                              <w:rPr>
                                <w:sz w:val="20"/>
                              </w:rPr>
                              <w:t xml:space="preserve">Improved maternal and fetal outcomes; </w:t>
                            </w:r>
                            <w:r w:rsidR="00567E2E">
                              <w:rPr>
                                <w:sz w:val="20"/>
                              </w:rPr>
                              <w:t>Decreased length of stay and fetal morbidity and mortality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66EFD" id="Rectangle 20" o:spid="_x0000_s1029" style="position:absolute;left:0;text-align:left;margin-left:409pt;margin-top:2.55pt;width:99pt;height:8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CGekAIAAEgFAAAOAAAAZHJzL2Uyb0RvYy54bWysVMlu2zAQvRfoPxC8N5IcO06NyIEbw0WB&#10;NAmaFDnTFLUAFMmStKX06/NIyVl7KIr6IM/GN5w3Mzw771tJ9sK6RqucZkcpJUJxXTSqyunPu82n&#10;U0qcZ6pgUiuR0wfh6Pny44ezzizERNdaFsISgCi36ExOa+/NIkkcr0XL3JE2QsFZatsyD9VWSWFZ&#10;B/RWJpM0PUk6bQtjNRfOwboenHQZ8ctScH9dlk54InOKu/n4tfG7Dd9kecYWlWWmbvh4DfYPt2hZ&#10;o5D0CWrNPCM727yDahtutdOlP+K6TXRZNlzEGlBNlr6p5rZmRsRaQI4zTzS5/wfLr/Y3ljRFTieg&#10;R7EWPfoB1piqpCCwgaDOuAXibs2NHTUHMVTbl7YN/6iD9JHUhydSRe8JhzGbzObHKcA5fFk6nc9n&#10;ETV5Pm6s81+FbkkQcmqRP5LJ9pfOIyVCDyEhm9OyKTaNlFGx1fZCWrJn6PB0c5p9Wcezctd+18Vg&#10;PknxG1oNMwZijD6Yge8GmJjrFb5UpMvpcTafoQKGCS0l8xBbA86cqihhssLoc29j3leHR9R3l3M1&#10;K8Rgnf3NJUL1a+bq4UhMEcrBvaUKJIg46SNZoV1Dg4Lk+20f+3t8aOVWFw/oudXDMjjDNw3wL5nz&#10;N8xi+tErbLS/xqeUGtXrUaKk1vb3n+whHkMJLyUdtgnU/NoxKyiR3xTG9XM2nYb1i8p0Ng/DZl96&#10;ti89atdeaLQzw9theBRDvJcHsbS6vcfir0JWuJjiyD00YVQu/LDleDq4WK1iGFbOMH+pbg0P4IG5&#10;wOxdf8+sGYfPY26v9GHz2OLNDA6x4aTSq53XZRMHNDA98IquBAXrGvszPi3hPXipx6jnB3D5CAAA&#10;//8DAFBLAwQUAAYACAAAACEAEAIbIOAAAAAKAQAADwAAAGRycy9kb3ducmV2LnhtbEyPwW7CMBBE&#10;75X6D9ZW6gUVO6WFKI2DUKSKc0MrxM3ESxI1Xke2IeHva07ltrszmn2TryfTsws631mSkMwFMKTa&#10;6o4aCd+7z5cUmA+KtOotoYQrelgXjw+5yrQd6QsvVWhYDCGfKQltCEPGua9bNMrP7YAUtZN1RoW4&#10;uoZrp8YYbnr+KsSSG9VR/NCqAcsW69/qbCRsZ4vN6N4W27Iyu5/9rHSH/XUl5fPTtPkAFnAK/2a4&#10;4Ud0KCLT0Z5Je9ZLSJM0dgkS3hNgN10ky3g4xmklEuBFzu8rFH8AAAD//wMAUEsBAi0AFAAGAAgA&#10;AAAhALaDOJL+AAAA4QEAABMAAAAAAAAAAAAAAAAAAAAAAFtDb250ZW50X1R5cGVzXS54bWxQSwEC&#10;LQAUAAYACAAAACEAOP0h/9YAAACUAQAACwAAAAAAAAAAAAAAAAAvAQAAX3JlbHMvLnJlbHNQSwEC&#10;LQAUAAYACAAAACEA1eAhnpACAABIBQAADgAAAAAAAAAAAAAAAAAuAgAAZHJzL2Uyb0RvYy54bWxQ&#10;SwECLQAUAAYACAAAACEAEAIbIOAAAAAKAQAADwAAAAAAAAAAAAAAAADqBAAAZHJzL2Rvd25yZXYu&#10;eG1sUEsFBgAAAAAEAAQA8wAAAPcFAAAAAA==&#10;" fillcolor="#95b3d7" strokecolor="#385d8a" strokeweight=".25pt">
                <v:textbox>
                  <w:txbxContent>
                    <w:p w14:paraId="7EA24FF5" w14:textId="6CF2FC2B" w:rsidR="00567E2E" w:rsidRPr="00C14AAE" w:rsidRDefault="00B941C1" w:rsidP="00F03FA3">
                      <w:pPr>
                        <w:jc w:val="center"/>
                        <w:rPr>
                          <w:sz w:val="20"/>
                        </w:rPr>
                      </w:pPr>
                      <w:r>
                        <w:rPr>
                          <w:sz w:val="20"/>
                        </w:rPr>
                        <w:t xml:space="preserve">Improved maternal and fetal outcomes; </w:t>
                      </w:r>
                      <w:r w:rsidR="00567E2E">
                        <w:rPr>
                          <w:sz w:val="20"/>
                        </w:rPr>
                        <w:t>Decreased length of stay and fetal morbidity and mortality</w:t>
                      </w:r>
                    </w:p>
                  </w:txbxContent>
                </v:textbox>
                <w10:wrap anchorx="margin"/>
              </v:rect>
            </w:pict>
          </mc:Fallback>
        </mc:AlternateContent>
      </w:r>
      <w:r w:rsidR="00EF5F29">
        <w:rPr>
          <w:noProof/>
        </w:rPr>
        <mc:AlternateContent>
          <mc:Choice Requires="wps">
            <w:drawing>
              <wp:anchor distT="0" distB="0" distL="114300" distR="114300" simplePos="0" relativeHeight="251667456" behindDoc="0" locked="0" layoutInCell="1" allowOverlap="1" wp14:anchorId="7C2ADC68" wp14:editId="44AC11C3">
                <wp:simplePos x="0" y="0"/>
                <wp:positionH relativeFrom="margin">
                  <wp:posOffset>3451783</wp:posOffset>
                </wp:positionH>
                <wp:positionV relativeFrom="paragraph">
                  <wp:posOffset>30150</wp:posOffset>
                </wp:positionV>
                <wp:extent cx="904875" cy="993683"/>
                <wp:effectExtent l="0" t="0" r="28575" b="16510"/>
                <wp:wrapNone/>
                <wp:docPr id="19" name="Rectangle 19"/>
                <wp:cNvGraphicFramePr/>
                <a:graphic xmlns:a="http://schemas.openxmlformats.org/drawingml/2006/main">
                  <a:graphicData uri="http://schemas.microsoft.com/office/word/2010/wordprocessingShape">
                    <wps:wsp>
                      <wps:cNvSpPr/>
                      <wps:spPr>
                        <a:xfrm>
                          <a:off x="0" y="0"/>
                          <a:ext cx="904875" cy="993683"/>
                        </a:xfrm>
                        <a:prstGeom prst="rect">
                          <a:avLst/>
                        </a:prstGeom>
                        <a:solidFill>
                          <a:srgbClr val="4F81BD">
                            <a:lumMod val="60000"/>
                            <a:lumOff val="40000"/>
                          </a:srgbClr>
                        </a:solidFill>
                        <a:ln w="3175" cap="flat" cmpd="sng" algn="ctr">
                          <a:solidFill>
                            <a:srgbClr val="4F81BD">
                              <a:shade val="50000"/>
                            </a:srgbClr>
                          </a:solidFill>
                          <a:prstDash val="solid"/>
                        </a:ln>
                        <a:effectLst/>
                      </wps:spPr>
                      <wps:txbx>
                        <w:txbxContent>
                          <w:p w14:paraId="4FF78CB3" w14:textId="0D32B049" w:rsidR="00567E2E" w:rsidRPr="00C14AAE" w:rsidRDefault="00567E2E" w:rsidP="00534AF0">
                            <w:pPr>
                              <w:jc w:val="center"/>
                              <w:rPr>
                                <w:sz w:val="20"/>
                              </w:rPr>
                            </w:pPr>
                            <w:r>
                              <w:rPr>
                                <w:sz w:val="20"/>
                              </w:rPr>
                              <w:t>Patient delivers vaginally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ADC68" id="Rectangle 19" o:spid="_x0000_s1030" style="position:absolute;left:0;text-align:left;margin-left:271.8pt;margin-top:2.35pt;width:71.25pt;height:78.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wmjAIAAEYFAAAOAAAAZHJzL2Uyb0RvYy54bWysVMlu2zAQvRfoPxC8N7ITJ7GNyIEbw0WB&#10;NDGaFDmPKWoBuHVIW0q/vkNKztpDUdQHmbNwljdveHHZacX2En1jTc7HRyPOpBG2aEyV8x/3609T&#10;znwAU4CyRub8UXp+ufj44aJ1c3lsa6sKiYyCGD9vXc7rENw8y7yopQZ/ZJ00ZCwtaggkYpUVCC1F&#10;1yo7Ho3OstZi4dAK6T1pV72RL1L8spQi3Jall4GpnFNtIX0xfbfxmy0uYF4huLoRQxnwD1VoaAwl&#10;fQq1ggBsh827ULoRaL0tw5GwOrNl2QiZeqBuxqM33dzV4GTqhcDx7gkm///Cipv9BllT0OxmnBnQ&#10;NKPvhBqYSklGOgKodX5Ofndug4Pk6Ri77UrU8Z/6YF0C9fEJVNkFJkg5G02m56ecCTLNZidn05MY&#10;M3u+7NCHL9JqFg85R8qeoIT9tQ+968El5vJWNcW6USoJWG2vFLI90Hwn6+n48yrdVTv9zRa9+mxE&#10;v37QpCY6DN4HNZXi+zCprFfxlWFtzk/GqQEgfpYKAvWiHSHmTcUZqIqILwKmvK8uD1HfFedrKGSv&#10;Pf2bImL3K/B1fyWlGCBUJoIgE88HsOKw+vHEU+i2XZruJN6Imq0tHmniaPtV8E6sG4p/DT5sAIn7&#10;tCW0z+GWPqWy1L0dTpzVFn/9SR/9iZJk5aylXSJofu4AJWfqqyGyzsaTSVy+JExOz49JwJeW7UuL&#10;2ekrS+Mc08vhRDpG/6AOxxKtfqC1X8asZAIjKHc/hEG4Cv2O08Mh5HKZ3GjhHIRrc+dEDB6Ri8je&#10;dw+AbiBfINbe2MPewfwNB3vfeNPY5S7YskkEfcaVGBQFWtbEpeFhia/BSzl5PT9/i98AAAD//wMA&#10;UEsDBBQABgAIAAAAIQCnZUO73wAAAAkBAAAPAAAAZHJzL2Rvd25yZXYueG1sTI/BasMwEETvhf6D&#10;2EIvoZEdu0pwLIdgKDnXaQm9KfbGNrUkIymx8/fdntrjMo+Zt/lu1gO7ofO9NRLiZQQMTW2b3rQS&#10;Po5vLxtgPijTqMEalHBHD7vi8SFXWWMn8463KrSMSozPlIQuhDHj3NcdauWXdkRD2cU6rQKdruWN&#10;UxOV64GvokhwrXpDC50aseyw/q6uWsJhkewnlyaHstLHz9OidF+n+1rK56d5vwUWcA5/MPzqkzoU&#10;5HS2V9N4Nkh4TRNBqIR0DYxysRExsDOBIl4BL3L+/4PiBwAA//8DAFBLAQItABQABgAIAAAAIQC2&#10;gziS/gAAAOEBAAATAAAAAAAAAAAAAAAAAAAAAABbQ29udGVudF9UeXBlc10ueG1sUEsBAi0AFAAG&#10;AAgAAAAhADj9If/WAAAAlAEAAAsAAAAAAAAAAAAAAAAALwEAAF9yZWxzLy5yZWxzUEsBAi0AFAAG&#10;AAgAAAAhAMj/rCaMAgAARgUAAA4AAAAAAAAAAAAAAAAALgIAAGRycy9lMm9Eb2MueG1sUEsBAi0A&#10;FAAGAAgAAAAhAKdlQ7vfAAAACQEAAA8AAAAAAAAAAAAAAAAA5gQAAGRycy9kb3ducmV2LnhtbFBL&#10;BQYAAAAABAAEAPMAAADyBQAAAAA=&#10;" fillcolor="#95b3d7" strokecolor="#385d8a" strokeweight=".25pt">
                <v:textbox>
                  <w:txbxContent>
                    <w:p w14:paraId="4FF78CB3" w14:textId="0D32B049" w:rsidR="00567E2E" w:rsidRPr="00C14AAE" w:rsidRDefault="00567E2E" w:rsidP="00534AF0">
                      <w:pPr>
                        <w:jc w:val="center"/>
                        <w:rPr>
                          <w:sz w:val="20"/>
                        </w:rPr>
                      </w:pPr>
                      <w:r>
                        <w:rPr>
                          <w:sz w:val="20"/>
                        </w:rPr>
                        <w:t>Patient delivers vaginally</w:t>
                      </w:r>
                    </w:p>
                  </w:txbxContent>
                </v:textbox>
                <w10:wrap anchorx="margin"/>
              </v:rect>
            </w:pict>
          </mc:Fallback>
        </mc:AlternateContent>
      </w:r>
      <w:r w:rsidR="00EF5F29">
        <w:rPr>
          <w:noProof/>
        </w:rPr>
        <mc:AlternateContent>
          <mc:Choice Requires="wps">
            <w:drawing>
              <wp:anchor distT="0" distB="0" distL="114300" distR="114300" simplePos="0" relativeHeight="251665408" behindDoc="0" locked="0" layoutInCell="1" allowOverlap="1" wp14:anchorId="78530106" wp14:editId="269C6CE6">
                <wp:simplePos x="0" y="0"/>
                <wp:positionH relativeFrom="margin">
                  <wp:posOffset>1704086</wp:posOffset>
                </wp:positionH>
                <wp:positionV relativeFrom="paragraph">
                  <wp:posOffset>19076</wp:posOffset>
                </wp:positionV>
                <wp:extent cx="904875" cy="993683"/>
                <wp:effectExtent l="0" t="0" r="28575" b="16510"/>
                <wp:wrapNone/>
                <wp:docPr id="18" name="Rectangle 18"/>
                <wp:cNvGraphicFramePr/>
                <a:graphic xmlns:a="http://schemas.openxmlformats.org/drawingml/2006/main">
                  <a:graphicData uri="http://schemas.microsoft.com/office/word/2010/wordprocessingShape">
                    <wps:wsp>
                      <wps:cNvSpPr/>
                      <wps:spPr>
                        <a:xfrm>
                          <a:off x="0" y="0"/>
                          <a:ext cx="904875" cy="993683"/>
                        </a:xfrm>
                        <a:prstGeom prst="rect">
                          <a:avLst/>
                        </a:prstGeom>
                        <a:solidFill>
                          <a:srgbClr val="4F81BD">
                            <a:lumMod val="60000"/>
                            <a:lumOff val="40000"/>
                          </a:srgbClr>
                        </a:solidFill>
                        <a:ln w="3175" cap="flat" cmpd="sng" algn="ctr">
                          <a:solidFill>
                            <a:srgbClr val="4F81BD">
                              <a:shade val="50000"/>
                            </a:srgbClr>
                          </a:solidFill>
                          <a:prstDash val="solid"/>
                        </a:ln>
                        <a:effectLst/>
                      </wps:spPr>
                      <wps:txbx>
                        <w:txbxContent>
                          <w:p w14:paraId="117D5911" w14:textId="200C8B22" w:rsidR="00567E2E" w:rsidRPr="00C14AAE" w:rsidRDefault="004032CC" w:rsidP="00534AF0">
                            <w:pPr>
                              <w:jc w:val="center"/>
                              <w:rPr>
                                <w:sz w:val="20"/>
                              </w:rPr>
                            </w:pPr>
                            <w:r>
                              <w:rPr>
                                <w:sz w:val="20"/>
                              </w:rPr>
                              <w:t>NTSV</w:t>
                            </w:r>
                            <w:r w:rsidR="003F249B">
                              <w:rPr>
                                <w:sz w:val="20"/>
                              </w:rPr>
                              <w:t xml:space="preserve"> patients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30106" id="Rectangle 18" o:spid="_x0000_s1031" style="position:absolute;left:0;text-align:left;margin-left:134.2pt;margin-top:1.5pt;width:71.25pt;height:78.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6H4jAIAAEYFAAAOAAAAZHJzL2Uyb0RvYy54bWysVMlu2zAQvRfoPxC8N7ITO7GNyIEbw0WB&#10;NAmaFDmPKWoBuHVIW0q/vkNKztpDUdQHmbNwljdveH7RacX2En1jTc7HRyPOpBG2aEyV8x/3m08z&#10;znwAU4CyRub8UXp+sfz44bx1C3lsa6sKiYyCGL9oXc7rENwiy7yopQZ/ZJ00ZCwtaggkYpUVCC1F&#10;1yo7Ho1Os9Zi4dAK6T1p172RL1P8spQi3JSll4GpnFNtIX0xfbfxmy3PYVEhuLoRQxnwD1VoaAwl&#10;fQq1hgBsh827ULoRaL0tw5GwOrNl2QiZeqBuxqM33dzV4GTqhcDx7gkm///Ciuv9LbKmoNnRpAxo&#10;mtF3Qg1MpSQjHQHUOr8gvzt3i4Pk6Ri77UrU8Z/6YF0C9fEJVNkFJkg5H01mZ1POBJnm85PT2UmM&#10;mT1fdujDF2k1i4ecI2VPUML+yofe9eASc3mrmmLTKJUErLaXCtkeaL6TzWz8eZ3uqp3+ZotefTqi&#10;Xz9oUhMdBu+DmkrxfZhU1qv4yrA25yfj1AAQP0sFgXrRjhDzpuIMVEXEFwFT3leXh6jvivM1FLLX&#10;Tv+miNj9GnzdX0kpBgiViSDIxPMBrDisfjzxFLptl6Y7jTeiZmuLR5o42n4VvBObhuJfgQ+3gMR9&#10;2hLa53BDn1JZ6t4OJ85qi7/+pI/+REmyctbSLhE0P3eAkjP11RBZ5+PJJC5fEibTs2MS8KVl+9Ji&#10;dvrS0jjH9HI4kY7RP6jDsUSrH2jtVzErmcAIyt0PYRAuQ7/j9HAIuVolN1o4B+HK3DkRg0fkIrL3&#10;3QOgG8gXiLXX9rB3sHjDwd433jR2tQu2bBJBn3ElBkWBljVxaXhY4mvwUk5ez8/f8jcAAAD//wMA&#10;UEsDBBQABgAIAAAAIQA+ZDX94AAAAAkBAAAPAAAAZHJzL2Rvd25yZXYueG1sTI9BT4NAEIXvJv6H&#10;zZh4aezSQmuLLE1DYnqWahpvWxiByM6S3W2h/97xpMfJ+/Lme9luMr24ovOdJQWLeQQCqbJ1R42C&#10;9+Pr0waED5pq3VtCBTf0sMvv7zKd1nakN7yWoRFcQj7VCtoQhlRKX7VotJ/bAYmzL+uMDny6RtZO&#10;j1xuermMorU0uiP+0OoBixar7/JiFBxm8X50SXwoSnP8OM0K93m6PSv1+DDtX0AEnMIfDL/6rA45&#10;O53thWovegXL9SZhVEHMkzhPFtEWxJnB1XYFMs/k/wX5DwAAAP//AwBQSwECLQAUAAYACAAAACEA&#10;toM4kv4AAADhAQAAEwAAAAAAAAAAAAAAAAAAAAAAW0NvbnRlbnRfVHlwZXNdLnhtbFBLAQItABQA&#10;BgAIAAAAIQA4/SH/1gAAAJQBAAALAAAAAAAAAAAAAAAAAC8BAABfcmVscy8ucmVsc1BLAQItABQA&#10;BgAIAAAAIQCsm6H4jAIAAEYFAAAOAAAAAAAAAAAAAAAAAC4CAABkcnMvZTJvRG9jLnhtbFBLAQIt&#10;ABQABgAIAAAAIQA+ZDX94AAAAAkBAAAPAAAAAAAAAAAAAAAAAOYEAABkcnMvZG93bnJldi54bWxQ&#10;SwUGAAAAAAQABADzAAAA8wUAAAAA&#10;" fillcolor="#95b3d7" strokecolor="#385d8a" strokeweight=".25pt">
                <v:textbox>
                  <w:txbxContent>
                    <w:p w14:paraId="117D5911" w14:textId="200C8B22" w:rsidR="00567E2E" w:rsidRPr="00C14AAE" w:rsidRDefault="004032CC" w:rsidP="00534AF0">
                      <w:pPr>
                        <w:jc w:val="center"/>
                        <w:rPr>
                          <w:sz w:val="20"/>
                        </w:rPr>
                      </w:pPr>
                      <w:r>
                        <w:rPr>
                          <w:sz w:val="20"/>
                        </w:rPr>
                        <w:t>NTSV</w:t>
                      </w:r>
                      <w:r w:rsidR="003F249B">
                        <w:rPr>
                          <w:sz w:val="20"/>
                        </w:rPr>
                        <w:t xml:space="preserve"> patients</w:t>
                      </w:r>
                    </w:p>
                  </w:txbxContent>
                </v:textbox>
                <w10:wrap anchorx="margin"/>
              </v:rect>
            </w:pict>
          </mc:Fallback>
        </mc:AlternateContent>
      </w:r>
    </w:p>
    <w:p w14:paraId="56078D8E" w14:textId="05860F22" w:rsidR="00151940" w:rsidRDefault="00EF5F29">
      <w:pPr>
        <w:ind w:left="1011" w:right="636" w:hanging="432"/>
        <w:rPr>
          <w:b/>
          <w:bCs/>
          <w:color w:val="FF0000"/>
        </w:rPr>
      </w:pPr>
      <w:r>
        <w:rPr>
          <w:noProof/>
        </w:rPr>
        <mc:AlternateContent>
          <mc:Choice Requires="wps">
            <w:drawing>
              <wp:anchor distT="0" distB="0" distL="114300" distR="114300" simplePos="0" relativeHeight="251675648" behindDoc="0" locked="0" layoutInCell="1" allowOverlap="1" wp14:anchorId="1486572D" wp14:editId="6F76D5E2">
                <wp:simplePos x="0" y="0"/>
                <wp:positionH relativeFrom="column">
                  <wp:posOffset>2680970</wp:posOffset>
                </wp:positionH>
                <wp:positionV relativeFrom="paragraph">
                  <wp:posOffset>168910</wp:posOffset>
                </wp:positionV>
                <wp:extent cx="686435" cy="349250"/>
                <wp:effectExtent l="0" t="19050" r="37465" b="31750"/>
                <wp:wrapNone/>
                <wp:docPr id="23" name="Arrow: Right 23"/>
                <wp:cNvGraphicFramePr/>
                <a:graphic xmlns:a="http://schemas.openxmlformats.org/drawingml/2006/main">
                  <a:graphicData uri="http://schemas.microsoft.com/office/word/2010/wordprocessingShape">
                    <wps:wsp>
                      <wps:cNvSpPr/>
                      <wps:spPr>
                        <a:xfrm>
                          <a:off x="0" y="0"/>
                          <a:ext cx="686435" cy="349250"/>
                        </a:xfrm>
                        <a:prstGeom prst="rightArrow">
                          <a:avLst/>
                        </a:prstGeom>
                        <a:solidFill>
                          <a:sysClr val="window" lastClr="FFFFFF">
                            <a:lumMod val="75000"/>
                          </a:sysClr>
                        </a:solid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65BF2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3" o:spid="_x0000_s1026" type="#_x0000_t13" style="position:absolute;margin-left:211.1pt;margin-top:13.3pt;width:54.05pt;height: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m7XkwIAADUFAAAOAAAAZHJzL2Uyb0RvYy54bWysVEtv2zAMvg/YfxB0X52kSR9GnSJrkGFA&#10;1xZrh54VWX4AkqhRSpzs14+SnfSxnYb5IJPi+yOpq+ud0Wyr0LdgCz4+GXGmrISytXXBfzytPl1w&#10;5oOwpdBgVcH3yvPr+ccPV53L1QQa0KVCRk6szztX8CYEl2eZl40ywp+AU5aEFaARgVissxJFR96N&#10;ziaj0VnWAZYOQSrv6XbZC/k8+a8qJcN9VXkVmC445RbSielcxzObX4m8RuGaVg5piH/IwojWUtCj&#10;q6UIgm2w/cOVaSWChyqcSDAZVFUrVaqBqhmP3lXz2AinUi0EjndHmPz/cyvvtg/I2rLgk1POrDDU&#10;owUidDn73tZNYHRNGHXO56T66B5w4DyRseBdhSb+qRS2S7juj7iqXWCSLs8uzqanM84kiU6nl5NZ&#10;wj17MXbowxcFhkWi4BgjpywSpmJ76wOFJYODYozoQbflqtU6MXt/o5FtBfWZxqOEjjMtfKDLgq/S&#10;l3zpjfkGZa93PhuNDpn4ZJ9ivPGrLeso6fF5TF/QgFZaBCKNI8i8rTkTuqbJlwGT/zfGHuv1Mavp&#10;6mL8edkrNaJUfQ4xhWMOvfqfScSql8I3vUkKEZtCeGgbi1dp0AeQYqv65kRqDeWeGozQT753ctWS&#10;t1uC5kEgjTotBa1vuKej0kC1wkBx1gD++tt91KcJJClnHa0OAfFzI1AR4l8tzebleDqNu5aY6ex8&#10;Qgy+lqxfS+zG3AB1bUwPhZOJjPpBH8gKwTzTli9iVBIJKyl2D/nA3IR+pemdkGqxSGq0X06EW/vo&#10;ZHQecYo4Pu2eBbph0AJN6B0c1kzk7yat142WFhabAFWbxvAFV+pBZGg3UzeGdyQu/2s+ab28dvPf&#10;AAAA//8DAFBLAwQUAAYACAAAACEAKLeNc+AAAAAJAQAADwAAAGRycy9kb3ducmV2LnhtbEyPwU7D&#10;MBBE70j8g7VI3KhdF6w2zaZqkRDihFqoxNGNt0kgtqPYbZO/x5zKcTVPM2/z1WBbdqY+NN4hTCcC&#10;GLnSm8ZVCJ8fLw9zYCFqZ3TrHSGMFGBV3N7kOjP+4rZ03sWKpRIXMo1Qx9hlnIeyJqvDxHfkUnb0&#10;vdUxnX3FTa8vqdy2XAqhuNWNSwu17ui5pvJnd7IIKu7tfn0c395pFF/fi812fN0MiPd3w3oJLNIQ&#10;rzD86Sd1KJLTwZ+cCaxFeJRSJhRBKgUsAU8zMQN2QJhPFfAi5/8/KH4BAAD//wMAUEsBAi0AFAAG&#10;AAgAAAAhALaDOJL+AAAA4QEAABMAAAAAAAAAAAAAAAAAAAAAAFtDb250ZW50X1R5cGVzXS54bWxQ&#10;SwECLQAUAAYACAAAACEAOP0h/9YAAACUAQAACwAAAAAAAAAAAAAAAAAvAQAAX3JlbHMvLnJlbHNQ&#10;SwECLQAUAAYACAAAACEAk+pu15MCAAA1BQAADgAAAAAAAAAAAAAAAAAuAgAAZHJzL2Uyb0RvYy54&#10;bWxQSwECLQAUAAYACAAAACEAKLeNc+AAAAAJAQAADwAAAAAAAAAAAAAAAADtBAAAZHJzL2Rvd25y&#10;ZXYueG1sUEsFBgAAAAAEAAQA8wAAAPoFAAAAAA==&#10;" adj="16105" fillcolor="#bfbfbf" strokecolor="#385d8a" strokeweight=".25pt"/>
            </w:pict>
          </mc:Fallback>
        </mc:AlternateContent>
      </w:r>
      <w:r>
        <w:rPr>
          <w:noProof/>
        </w:rPr>
        <mc:AlternateContent>
          <mc:Choice Requires="wps">
            <w:drawing>
              <wp:anchor distT="0" distB="0" distL="114300" distR="114300" simplePos="0" relativeHeight="251673600" behindDoc="0" locked="0" layoutInCell="1" allowOverlap="1" wp14:anchorId="33A32DE9" wp14:editId="00C0A1B7">
                <wp:simplePos x="0" y="0"/>
                <wp:positionH relativeFrom="column">
                  <wp:posOffset>958266</wp:posOffset>
                </wp:positionH>
                <wp:positionV relativeFrom="paragraph">
                  <wp:posOffset>156210</wp:posOffset>
                </wp:positionV>
                <wp:extent cx="686435" cy="349250"/>
                <wp:effectExtent l="0" t="19050" r="37465" b="31750"/>
                <wp:wrapNone/>
                <wp:docPr id="22" name="Arrow: Right 22"/>
                <wp:cNvGraphicFramePr/>
                <a:graphic xmlns:a="http://schemas.openxmlformats.org/drawingml/2006/main">
                  <a:graphicData uri="http://schemas.microsoft.com/office/word/2010/wordprocessingShape">
                    <wps:wsp>
                      <wps:cNvSpPr/>
                      <wps:spPr>
                        <a:xfrm>
                          <a:off x="0" y="0"/>
                          <a:ext cx="686435" cy="349250"/>
                        </a:xfrm>
                        <a:prstGeom prst="rightArrow">
                          <a:avLst/>
                        </a:prstGeom>
                        <a:solidFill>
                          <a:sysClr val="window" lastClr="FFFFFF">
                            <a:lumMod val="75000"/>
                          </a:sysClr>
                        </a:solid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2F6F5F" id="Arrow: Right 22" o:spid="_x0000_s1026" type="#_x0000_t13" style="position:absolute;margin-left:75.45pt;margin-top:12.3pt;width:54.05pt;height: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XL2kwIAADUFAAAOAAAAZHJzL2Uyb0RvYy54bWysVEtv2zAMvg/YfxB0X52kSR9GnSJrkGFA&#10;1xZrh54VWX4AkqhRSpzs14+SnfSxnYb5IJPi+yOpq+ud0Wyr0LdgCz4+GXGmrISytXXBfzytPl1w&#10;5oOwpdBgVcH3yvPr+ccPV53L1QQa0KVCRk6szztX8CYEl2eZl40ywp+AU5aEFaARgVissxJFR96N&#10;ziaj0VnWAZYOQSrv6XbZC/k8+a8qJcN9VXkVmC445RbSielcxzObX4m8RuGaVg5piH/IwojWUtCj&#10;q6UIgm2w/cOVaSWChyqcSDAZVFUrVaqBqhmP3lXz2AinUi0EjndHmPz/cyvvtg/I2rLgkwlnVhjq&#10;0QIRupx9b+smMLomjDrnc1J9dA84cJ7IWPCuQhP/VArbJVz3R1zVLjBJl2cXZ9PTGWeSRKfTy8ks&#10;4Z69GDv04YsCwyJRcIyRUxYJU7G99YHCksFBMUb0oNty1WqdmL2/0ci2gvpM41FCx5kWPtBlwVfp&#10;S770xnyDstc7n41Gh0x8sk8x3vjVlnWU9Pg8pi9oQCstApHGEWTe1pwJXdPky4DJ/xtjj/X6mNV0&#10;dTH+vOyVGlGqPoeYwjGHXv3PJGLVS+Gb3iSFiE0hPLSNxas06ANIsVV9cyK1hnJPDUboJ987uWrJ&#10;2y1B8yCQRp2WgtY33NNRaaBaYaA4awB//e0+6tMEkpSzjlaHgPi5EagI8a+WZvNyPJ3GXUvMdHY+&#10;IQZfS9avJXZjboC6NqaHwslERv2gD2SFYJ5pyxcxKomElRS7h3xgbkK/0vROSLVYJDXaLyfCrX10&#10;MjqPOEUcn3bPAt0waIEm9A4Oaybyd5PW60ZLC4tNgKpNY/iCK/UgMrSbqRvDOxKX/zWftF5eu/lv&#10;AAAA//8DAFBLAwQUAAYACAAAACEAerjrON8AAAAJAQAADwAAAGRycy9kb3ducmV2LnhtbEyPwU7D&#10;MBBE70j8g7VI3KhNREMT4lQtEkKcUEsrcXTjbRKI11Hstsnfs5zgONqn2TfFcnSdOOMQWk8a7mcK&#10;BFLlbUu1ht3Hy90CRIiGrOk8oYYJAyzL66vC5NZfaIPnbawFl1DIjYYmxj6XMlQNOhNmvkfi29EP&#10;zkSOQy3tYC5c7jqZKJVKZ1riD43p8bnB6nt7chrSuHf71XF6e8dJfX5l6830uh61vr0ZV08gIo7x&#10;D4ZffVaHkp0O/kQ2iI7zXGWMakgeUhAMJPOMxx00PGYpyLKQ/xeUPwAAAP//AwBQSwECLQAUAAYA&#10;CAAAACEAtoM4kv4AAADhAQAAEwAAAAAAAAAAAAAAAAAAAAAAW0NvbnRlbnRfVHlwZXNdLnhtbFBL&#10;AQItABQABgAIAAAAIQA4/SH/1gAAAJQBAAALAAAAAAAAAAAAAAAAAC8BAABfcmVscy8ucmVsc1BL&#10;AQItABQABgAIAAAAIQCU5XL2kwIAADUFAAAOAAAAAAAAAAAAAAAAAC4CAABkcnMvZTJvRG9jLnht&#10;bFBLAQItABQABgAIAAAAIQB6uOs43wAAAAkBAAAPAAAAAAAAAAAAAAAAAO0EAABkcnMvZG93bnJl&#10;di54bWxQSwUGAAAAAAQABADzAAAA+QUAAAAA&#10;" adj="16105" fillcolor="#bfbfbf" strokecolor="#385d8a" strokeweight=".25pt"/>
            </w:pict>
          </mc:Fallback>
        </mc:AlternateContent>
      </w:r>
    </w:p>
    <w:p w14:paraId="59E5B3F7" w14:textId="75D23459" w:rsidR="00151940" w:rsidRPr="000C7A05" w:rsidRDefault="00EF5F29">
      <w:pPr>
        <w:ind w:left="1011" w:right="636" w:hanging="432"/>
        <w:rPr>
          <w:b/>
          <w:bCs/>
        </w:rPr>
      </w:pPr>
      <w:r>
        <w:rPr>
          <w:noProof/>
        </w:rPr>
        <mc:AlternateContent>
          <mc:Choice Requires="wps">
            <w:drawing>
              <wp:anchor distT="0" distB="0" distL="114300" distR="114300" simplePos="0" relativeHeight="251677696" behindDoc="0" locked="0" layoutInCell="1" allowOverlap="1" wp14:anchorId="793BB72C" wp14:editId="30364958">
                <wp:simplePos x="0" y="0"/>
                <wp:positionH relativeFrom="column">
                  <wp:posOffset>4417848</wp:posOffset>
                </wp:positionH>
                <wp:positionV relativeFrom="paragraph">
                  <wp:posOffset>27940</wp:posOffset>
                </wp:positionV>
                <wp:extent cx="686435" cy="349250"/>
                <wp:effectExtent l="0" t="19050" r="37465" b="31750"/>
                <wp:wrapNone/>
                <wp:docPr id="24" name="Arrow: Right 24"/>
                <wp:cNvGraphicFramePr/>
                <a:graphic xmlns:a="http://schemas.openxmlformats.org/drawingml/2006/main">
                  <a:graphicData uri="http://schemas.microsoft.com/office/word/2010/wordprocessingShape">
                    <wps:wsp>
                      <wps:cNvSpPr/>
                      <wps:spPr>
                        <a:xfrm>
                          <a:off x="0" y="0"/>
                          <a:ext cx="686435" cy="349250"/>
                        </a:xfrm>
                        <a:prstGeom prst="rightArrow">
                          <a:avLst/>
                        </a:prstGeom>
                        <a:solidFill>
                          <a:sysClr val="window" lastClr="FFFFFF">
                            <a:lumMod val="75000"/>
                          </a:sysClr>
                        </a:solid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86E4AD" id="Arrow: Right 24" o:spid="_x0000_s1026" type="#_x0000_t13" style="position:absolute;margin-left:347.85pt;margin-top:2.2pt;width:54.05pt;height: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owkwIAADUFAAAOAAAAZHJzL2Uyb0RvYy54bWysVEtv2zAMvg/YfxB0X52kSR9GnSJrkGFA&#10;1xZrh54VWX4AkqhRSpzs14+SnfSxnYb5IJPi+yOpq+ud0Wyr0LdgCz4+GXGmrISytXXBfzytPl1w&#10;5oOwpdBgVcH3yvPr+ccPV53L1QQa0KVCRk6szztX8CYEl2eZl40ywp+AU5aEFaARgVissxJFR96N&#10;ziaj0VnWAZYOQSrv6XbZC/k8+a8qJcN9VXkVmC445RbSielcxzObX4m8RuGaVg5piH/IwojWUtCj&#10;q6UIgm2w/cOVaSWChyqcSDAZVFUrVaqBqhmP3lXz2AinUi0EjndHmPz/cyvvtg/I2rLgkylnVhjq&#10;0QIRupx9b+smMLomjDrnc1J9dA84cJ7IWPCuQhP/VArbJVz3R1zVLjBJl2cXZ9PTGWeSRKfTy8ks&#10;4Z69GDv04YsCwyJRcIyRUxYJU7G99YHCksFBMUb0oNty1WqdmL2/0ci2gvpM41FCx5kWPtBlwVfp&#10;S770xnyDstc7n41Gh0x8sk8x3vjVlnWU9Pg8pi9oQCstApHGEWTe1pwJXdPky4DJ/xtjj/X6mNV0&#10;dTH+vOyVGlGqPoeYwjGHXv3PJGLVS+Gb3iSFiE0hPLSNxas06ANIsVV9cyK1hnJPDUboJ987uWrJ&#10;2y1B8yCQRp2WgtY33NNRaaBaYaA4awB//e0+6tMEkpSzjlaHgPi5EagI8a+WZvNyPJ3GXUvMdHY+&#10;IQZfS9avJXZjboC6NqaHwslERv2gD2SFYJ5pyxcxKomElRS7h3xgbkK/0vROSLVYJDXaLyfCrX10&#10;MjqPOEUcn3bPAt0waIEm9A4Oaybyd5PW60ZLC4tNgKpNY/iCK/UgMrSbqRvDOxKX/zWftF5eu/lv&#10;AAAA//8DAFBLAwQUAAYACAAAACEAmqCilt8AAAAIAQAADwAAAGRycy9kb3ducmV2LnhtbEyPwU7D&#10;MBBE70j8g7VI3KgNpKUJcaoWCaGeUAuVOLrxNgnE6yh22+Tvu5zguJrR2zf5YnCtOGEfGk8a7icK&#10;BFLpbUOVhs+P17s5iBANWdN6Qg0jBlgU11e5yaw/0wZP21gJhlDIjIY6xi6TMpQ1OhMmvkPi7OB7&#10;ZyKffSVtb84Md618UGomnWmIP9Smw5cay5/t0WmYxZ3bLQ/j+h1H9fWdrjbj22rQ+vZmWD6DiDjE&#10;vzL86rM6FOy090eyQbTMSKdPXNWQJCA4n6tHnrLXME0TkEUu/w8oLgAAAP//AwBQSwECLQAUAAYA&#10;CAAAACEAtoM4kv4AAADhAQAAEwAAAAAAAAAAAAAAAAAAAAAAW0NvbnRlbnRfVHlwZXNdLnhtbFBL&#10;AQItABQABgAIAAAAIQA4/SH/1gAAAJQBAAALAAAAAAAAAAAAAAAAAC8BAABfcmVscy8ucmVsc1BL&#10;AQItABQABgAIAAAAIQCGxzowkwIAADUFAAAOAAAAAAAAAAAAAAAAAC4CAABkcnMvZTJvRG9jLnht&#10;bFBLAQItABQABgAIAAAAIQCaoKKW3wAAAAgBAAAPAAAAAAAAAAAAAAAAAO0EAABkcnMvZG93bnJl&#10;di54bWxQSwUGAAAAAAQABADzAAAA+QUAAAAA&#10;" adj="16105" fillcolor="#bfbfbf" strokecolor="#385d8a" strokeweight=".25pt"/>
            </w:pict>
          </mc:Fallback>
        </mc:AlternateContent>
      </w:r>
    </w:p>
    <w:p w14:paraId="6BDE06C7" w14:textId="0E2F0554" w:rsidR="00534AF0" w:rsidRDefault="00534AF0" w:rsidP="00151940">
      <w:pPr>
        <w:ind w:left="579"/>
        <w:rPr>
          <w:color w:val="0000FF"/>
        </w:rPr>
      </w:pPr>
    </w:p>
    <w:p w14:paraId="65ACF295" w14:textId="764E78EF" w:rsidR="00534AF0" w:rsidRDefault="00534AF0" w:rsidP="00151940">
      <w:pPr>
        <w:ind w:left="579"/>
        <w:rPr>
          <w:color w:val="0000FF"/>
        </w:rPr>
      </w:pPr>
    </w:p>
    <w:p w14:paraId="41F2ED11" w14:textId="5BDED62A" w:rsidR="00534AF0" w:rsidRDefault="00534AF0" w:rsidP="00151940">
      <w:pPr>
        <w:ind w:left="579"/>
        <w:rPr>
          <w:color w:val="0000FF"/>
        </w:rPr>
      </w:pPr>
    </w:p>
    <w:p w14:paraId="2C19F2A7" w14:textId="07B846FB" w:rsidR="00534AF0" w:rsidRDefault="00534AF0" w:rsidP="00151940">
      <w:pPr>
        <w:ind w:left="579"/>
        <w:rPr>
          <w:color w:val="0000FF"/>
        </w:rPr>
      </w:pPr>
    </w:p>
    <w:p w14:paraId="6BB8DF94" w14:textId="48161AD0" w:rsidR="00534AF0" w:rsidRDefault="00534AF0" w:rsidP="00151940">
      <w:pPr>
        <w:ind w:left="579"/>
        <w:rPr>
          <w:color w:val="0000FF"/>
        </w:rPr>
      </w:pPr>
    </w:p>
    <w:p w14:paraId="197A9E59" w14:textId="7F745D3F" w:rsidR="00C4496D" w:rsidRDefault="00151940" w:rsidP="003F249B">
      <w:r w:rsidRPr="000D10CF">
        <w:rPr>
          <w:color w:val="0000FF"/>
        </w:rPr>
        <w:t xml:space="preserve">The </w:t>
      </w:r>
      <w:r w:rsidR="00DD643D">
        <w:rPr>
          <w:color w:val="0000FF"/>
        </w:rPr>
        <w:t>intent</w:t>
      </w:r>
      <w:r w:rsidRPr="000D10CF">
        <w:rPr>
          <w:color w:val="0000FF"/>
        </w:rPr>
        <w:t xml:space="preserve"> of the measure is to decrease the number of cesarean </w:t>
      </w:r>
      <w:r w:rsidR="009378CD">
        <w:rPr>
          <w:color w:val="0000FF"/>
        </w:rPr>
        <w:t>deliveries</w:t>
      </w:r>
      <w:bookmarkStart w:id="7" w:name="_GoBack"/>
      <w:bookmarkEnd w:id="7"/>
      <w:r w:rsidRPr="000D10CF">
        <w:rPr>
          <w:color w:val="0000FF"/>
        </w:rPr>
        <w:t xml:space="preserve"> &gt;&gt; population determined </w:t>
      </w:r>
      <w:r w:rsidR="004032CC">
        <w:rPr>
          <w:color w:val="0000FF"/>
        </w:rPr>
        <w:t>in nulliparous, term singleton newborns in vertex position</w:t>
      </w:r>
      <w:r w:rsidRPr="000D10CF">
        <w:rPr>
          <w:color w:val="0000FF"/>
        </w:rPr>
        <w:t>&gt;&gt; population assessed</w:t>
      </w:r>
      <w:r w:rsidR="004032CC">
        <w:rPr>
          <w:color w:val="0000FF"/>
        </w:rPr>
        <w:t>; nulliparous term patients</w:t>
      </w:r>
      <w:r w:rsidRPr="000D10CF">
        <w:rPr>
          <w:color w:val="0000FF"/>
        </w:rPr>
        <w:t>&gt;&gt; patient delivers vaginally &gt;&gt; improved maternal and fetal outcomes</w:t>
      </w:r>
      <w:r w:rsidR="004032CC">
        <w:rPr>
          <w:color w:val="0000FF"/>
        </w:rPr>
        <w:t xml:space="preserve">; </w:t>
      </w:r>
      <w:r w:rsidRPr="000D10CF">
        <w:rPr>
          <w:color w:val="0000FF"/>
        </w:rPr>
        <w:t>decreased length of stay and fetal morbidity and mortality.</w:t>
      </w:r>
    </w:p>
    <w:p w14:paraId="1019828B" w14:textId="77777777" w:rsidR="00C4496D" w:rsidRDefault="00C4496D">
      <w:pPr>
        <w:pStyle w:val="BodyText"/>
        <w:rPr>
          <w:sz w:val="22"/>
        </w:rPr>
      </w:pPr>
    </w:p>
    <w:p w14:paraId="688D9211" w14:textId="2B403D0D" w:rsidR="00C4496D" w:rsidRPr="0016010A" w:rsidRDefault="00895B79" w:rsidP="003F249B">
      <w:pPr>
        <w:ind w:right="738"/>
        <w:jc w:val="both"/>
      </w:pPr>
      <w:r w:rsidRPr="000E4CF5">
        <w:rPr>
          <w:b/>
        </w:rPr>
        <w:t>1a.3 Value and Meaningfulness:</w:t>
      </w:r>
      <w:r>
        <w:rPr>
          <w:b/>
        </w:rPr>
        <w:t xml:space="preserve"> </w:t>
      </w:r>
      <w:r w:rsidRPr="00B75FE5">
        <w:rPr>
          <w:bCs/>
        </w:rPr>
        <w:t>I</w:t>
      </w:r>
      <w:r w:rsidR="00673071">
        <w:rPr>
          <w:bCs/>
        </w:rPr>
        <w:t>f</w:t>
      </w:r>
      <w:r w:rsidRPr="00B75FE5">
        <w:rPr>
          <w:bCs/>
        </w:rPr>
        <w:t xml:space="preserve"> </w:t>
      </w:r>
      <w:r>
        <w:t xml:space="preserve">this measure is derived from patient report, provide evidence that the target population values the measured </w:t>
      </w:r>
      <w:r>
        <w:rPr>
          <w:b/>
          <w:i/>
        </w:rPr>
        <w:t xml:space="preserve">outcome, process, or structure </w:t>
      </w:r>
      <w:r>
        <w:t>and finds it meaningful. (Describe how and from whom their input was obtained.)</w:t>
      </w:r>
      <w:r w:rsidR="0016010A">
        <w:t xml:space="preserve"> </w:t>
      </w:r>
    </w:p>
    <w:p w14:paraId="3493D241" w14:textId="77777777" w:rsidR="00C4496D" w:rsidRDefault="00C4496D" w:rsidP="00151940">
      <w:pPr>
        <w:pStyle w:val="BodyText"/>
        <w:ind w:left="579"/>
        <w:rPr>
          <w:sz w:val="22"/>
        </w:rPr>
      </w:pPr>
    </w:p>
    <w:p w14:paraId="25F5CA14" w14:textId="77777777" w:rsidR="00C4496D" w:rsidRDefault="00895B79">
      <w:pPr>
        <w:pStyle w:val="Heading1"/>
        <w:ind w:left="579"/>
      </w:pPr>
      <w:r>
        <w:t>**RESPOND TO ONLY ONE SECTION BELOW -EITHER 1a.2, 1a.3 or 1a.4) **</w:t>
      </w:r>
    </w:p>
    <w:p w14:paraId="61561929" w14:textId="77777777" w:rsidR="00C4496D" w:rsidRDefault="00C4496D">
      <w:pPr>
        <w:pStyle w:val="BodyText"/>
        <w:spacing w:before="11"/>
        <w:rPr>
          <w:b/>
          <w:sz w:val="21"/>
        </w:rPr>
      </w:pPr>
    </w:p>
    <w:p w14:paraId="3F102711" w14:textId="63B540F9" w:rsidR="00C4496D" w:rsidRPr="00366194" w:rsidRDefault="00895B79" w:rsidP="00F25002">
      <w:pPr>
        <w:spacing w:before="1"/>
        <w:ind w:left="432" w:right="945" w:hanging="432"/>
        <w:rPr>
          <w:b/>
        </w:rPr>
      </w:pPr>
      <w:r w:rsidRPr="00366194">
        <w:rPr>
          <w:b/>
        </w:rPr>
        <w:t>1a.2 FOR OUTCOME MEASURES including PATIENT REPORTED OUTCOMES - Provide empirical data demonstrating the relationship between the outcome (or PRO) to at least one healthcare structure, process, intervention, or service.</w:t>
      </w:r>
      <w:r w:rsidR="0016010A" w:rsidRPr="00366194">
        <w:rPr>
          <w:b/>
        </w:rPr>
        <w:t xml:space="preserve"> </w:t>
      </w:r>
    </w:p>
    <w:p w14:paraId="63854188" w14:textId="77777777" w:rsidR="00135DFC" w:rsidRDefault="00135DFC" w:rsidP="00F40258">
      <w:pPr>
        <w:pStyle w:val="TableParagraph"/>
        <w:ind w:firstLine="432"/>
        <w:rPr>
          <w:color w:val="FF0000"/>
        </w:rPr>
      </w:pPr>
    </w:p>
    <w:p w14:paraId="5C282ABB" w14:textId="01B975B8" w:rsidR="00C774CF" w:rsidRPr="00887291" w:rsidRDefault="00A23C89" w:rsidP="005A70FF">
      <w:pPr>
        <w:pStyle w:val="ListParagraph"/>
        <w:widowControl/>
        <w:autoSpaceDE/>
        <w:autoSpaceDN/>
        <w:ind w:left="0" w:firstLine="0"/>
        <w:rPr>
          <w:rFonts w:eastAsia="Times New Roman"/>
          <w:b/>
          <w:color w:val="FF0000"/>
          <w:szCs w:val="21"/>
        </w:rPr>
      </w:pPr>
      <w:r w:rsidRPr="00887291">
        <w:rPr>
          <w:rFonts w:eastAsia="Times New Roman"/>
          <w:b/>
          <w:color w:val="FF0000"/>
          <w:szCs w:val="21"/>
        </w:rPr>
        <w:lastRenderedPageBreak/>
        <w:t xml:space="preserve">Safe </w:t>
      </w:r>
      <w:r w:rsidR="00887291" w:rsidRPr="00887291">
        <w:rPr>
          <w:rFonts w:eastAsia="Times New Roman"/>
          <w:b/>
          <w:color w:val="FF0000"/>
          <w:szCs w:val="21"/>
        </w:rPr>
        <w:t>P</w:t>
      </w:r>
      <w:r w:rsidRPr="00887291">
        <w:rPr>
          <w:rFonts w:eastAsia="Times New Roman"/>
          <w:b/>
          <w:color w:val="FF0000"/>
          <w:szCs w:val="21"/>
        </w:rPr>
        <w:t xml:space="preserve">revention of the </w:t>
      </w:r>
      <w:r w:rsidR="00887291" w:rsidRPr="00887291">
        <w:rPr>
          <w:rFonts w:eastAsia="Times New Roman"/>
          <w:b/>
          <w:color w:val="FF0000"/>
          <w:szCs w:val="21"/>
        </w:rPr>
        <w:t>P</w:t>
      </w:r>
      <w:r w:rsidRPr="00887291">
        <w:rPr>
          <w:rFonts w:eastAsia="Times New Roman"/>
          <w:b/>
          <w:color w:val="FF0000"/>
          <w:szCs w:val="21"/>
        </w:rPr>
        <w:t xml:space="preserve">rimary </w:t>
      </w:r>
      <w:r w:rsidR="00887291" w:rsidRPr="00887291">
        <w:rPr>
          <w:rFonts w:eastAsia="Times New Roman"/>
          <w:b/>
          <w:color w:val="FF0000"/>
          <w:szCs w:val="21"/>
        </w:rPr>
        <w:t>C</w:t>
      </w:r>
      <w:r w:rsidRPr="00887291">
        <w:rPr>
          <w:rFonts w:eastAsia="Times New Roman"/>
          <w:b/>
          <w:color w:val="FF0000"/>
          <w:szCs w:val="21"/>
        </w:rPr>
        <w:t xml:space="preserve">esarean </w:t>
      </w:r>
      <w:r w:rsidR="00887291" w:rsidRPr="00887291">
        <w:rPr>
          <w:rFonts w:eastAsia="Times New Roman"/>
          <w:b/>
          <w:color w:val="FF0000"/>
          <w:szCs w:val="21"/>
        </w:rPr>
        <w:t>D</w:t>
      </w:r>
      <w:r w:rsidRPr="00887291">
        <w:rPr>
          <w:rFonts w:eastAsia="Times New Roman"/>
          <w:b/>
          <w:color w:val="FF0000"/>
          <w:szCs w:val="21"/>
        </w:rPr>
        <w:t>elivery</w:t>
      </w:r>
    </w:p>
    <w:p w14:paraId="78C17588" w14:textId="2A7849FF" w:rsidR="00A23C89" w:rsidRPr="00296E64" w:rsidRDefault="00C774CF" w:rsidP="005A70FF">
      <w:pPr>
        <w:pStyle w:val="ListParagraph"/>
        <w:widowControl/>
        <w:autoSpaceDE/>
        <w:autoSpaceDN/>
        <w:ind w:left="0" w:firstLine="0"/>
        <w:rPr>
          <w:rFonts w:eastAsia="Times New Roman"/>
          <w:bCs/>
          <w:color w:val="FF0000"/>
          <w:szCs w:val="21"/>
        </w:rPr>
      </w:pPr>
      <w:r w:rsidRPr="00887291">
        <w:rPr>
          <w:rFonts w:eastAsia="Times New Roman"/>
          <w:b/>
          <w:color w:val="FF0000"/>
          <w:szCs w:val="21"/>
        </w:rPr>
        <w:t>Caughey</w:t>
      </w:r>
      <w:r w:rsidR="00887291">
        <w:rPr>
          <w:rFonts w:eastAsia="Times New Roman"/>
          <w:b/>
          <w:color w:val="FF0000"/>
          <w:szCs w:val="21"/>
        </w:rPr>
        <w:t xml:space="preserve"> et al., 2019</w:t>
      </w:r>
      <w:r w:rsidRPr="00887291">
        <w:rPr>
          <w:rFonts w:eastAsia="Times New Roman"/>
          <w:b/>
          <w:color w:val="FF0000"/>
          <w:szCs w:val="21"/>
        </w:rPr>
        <w:t xml:space="preserve"> </w:t>
      </w:r>
    </w:p>
    <w:p w14:paraId="16253939" w14:textId="77777777" w:rsidR="00A23C89" w:rsidRDefault="00A23C89" w:rsidP="00F25002">
      <w:pPr>
        <w:pStyle w:val="TableParagraph"/>
        <w:ind w:left="0" w:firstLine="432"/>
        <w:rPr>
          <w:color w:val="FF0000"/>
        </w:rPr>
      </w:pPr>
    </w:p>
    <w:p w14:paraId="1CC145E9" w14:textId="2C0C55E5" w:rsidR="00F25002" w:rsidRDefault="00195AEA" w:rsidP="00C774CF">
      <w:pPr>
        <w:pStyle w:val="TableParagraph"/>
        <w:ind w:left="0" w:firstLine="432"/>
        <w:rPr>
          <w:color w:val="FF0000"/>
        </w:rPr>
      </w:pPr>
      <w:r>
        <w:rPr>
          <w:color w:val="FF0000"/>
        </w:rPr>
        <w:t xml:space="preserve">The intent of this measure is to reduce </w:t>
      </w:r>
      <w:r w:rsidR="00543092">
        <w:rPr>
          <w:color w:val="FF0000"/>
        </w:rPr>
        <w:t>the rates of cesarean sections, and as a result, reduce the number of complications and negative outcomes for moms and babies</w:t>
      </w:r>
      <w:r w:rsidR="008F4AF7">
        <w:rPr>
          <w:color w:val="FF0000"/>
        </w:rPr>
        <w:t xml:space="preserve">. </w:t>
      </w:r>
      <w:r w:rsidR="00495540" w:rsidRPr="00495540">
        <w:rPr>
          <w:color w:val="FF0000"/>
        </w:rPr>
        <w:t>Caughey</w:t>
      </w:r>
      <w:r w:rsidR="00495540">
        <w:rPr>
          <w:color w:val="FF0000"/>
        </w:rPr>
        <w:t xml:space="preserve"> et al.</w:t>
      </w:r>
      <w:r w:rsidR="00495540" w:rsidRPr="00495540">
        <w:rPr>
          <w:color w:val="FF0000"/>
        </w:rPr>
        <w:t>,</w:t>
      </w:r>
      <w:r w:rsidR="009F6D7B">
        <w:rPr>
          <w:color w:val="FF0000"/>
        </w:rPr>
        <w:t xml:space="preserve"> 2019</w:t>
      </w:r>
      <w:r w:rsidR="00D11041">
        <w:rPr>
          <w:color w:val="FF0000"/>
        </w:rPr>
        <w:t>,</w:t>
      </w:r>
      <w:r w:rsidR="009F6D7B">
        <w:rPr>
          <w:color w:val="FF0000"/>
        </w:rPr>
        <w:t xml:space="preserve"> found</w:t>
      </w:r>
      <w:r w:rsidR="00495540" w:rsidRPr="00495540">
        <w:rPr>
          <w:color w:val="FF0000"/>
        </w:rPr>
        <w:t xml:space="preserve"> </w:t>
      </w:r>
      <w:r w:rsidR="009F6D7B">
        <w:rPr>
          <w:color w:val="FF0000"/>
        </w:rPr>
        <w:t>t</w:t>
      </w:r>
      <w:r w:rsidR="008F4AF7">
        <w:rPr>
          <w:color w:val="FF0000"/>
        </w:rPr>
        <w:t xml:space="preserve">his reduction is consistent with that of the recommendations given by the American </w:t>
      </w:r>
      <w:r w:rsidR="000C7934">
        <w:rPr>
          <w:color w:val="FF0000"/>
        </w:rPr>
        <w:t>College of Obstetricians and Gynecologist</w:t>
      </w:r>
      <w:r w:rsidR="00B47153">
        <w:rPr>
          <w:color w:val="FF0000"/>
        </w:rPr>
        <w:t xml:space="preserve">s. </w:t>
      </w:r>
      <w:r w:rsidR="00F25002" w:rsidRPr="009838AD">
        <w:rPr>
          <w:color w:val="FF0000"/>
        </w:rPr>
        <w:t>In 2011, one in three women who gave birth in the United States did so by cesarean delivery. Even though the rates of primary and total cesarean delivery have plateaued recently, there was a rapid increase in cesarean rates from 1996 to 2011. Although cesarean delivery can be lifesaving for the fetus, the mother, or both in certain cases, the rapid increase in the rate of cesarean births without evidence of concomitant decreases in maternal or neonatal morbidity or mortality raises significant concern that cesarean delivery is overused. Therefore, it is important for health care providers to understand the short-term and long-term tradeoffs between cesarean and vaginal delivery, as well as the safe and appropriate opportunities to prevent overuse of cesarean delivery, particularly primary cesarean delivery.</w:t>
      </w:r>
    </w:p>
    <w:p w14:paraId="70A252E3" w14:textId="3713709A" w:rsidR="00F17A0D" w:rsidRPr="000E4CF5" w:rsidRDefault="00F25002" w:rsidP="00A32DBD">
      <w:pPr>
        <w:pStyle w:val="TableParagraph"/>
        <w:ind w:left="0" w:firstLine="432"/>
        <w:rPr>
          <w:color w:val="FF0000"/>
        </w:rPr>
      </w:pPr>
      <w:r w:rsidRPr="00F25002">
        <w:rPr>
          <w:bCs/>
          <w:color w:val="FF0000"/>
        </w:rPr>
        <w:t>The recommendations by the American College of Obstetricians and Gynecologists have identified 40 studies that help to support the evidence in reducing the number of nulliparous, term, singleton newborns in vertex position to be delivered by cesarean birth. Of those studies, there were Population-based, Retrospective-Cohort, Prospective, Randomized trials, and Meta-analysis studies performed.</w:t>
      </w:r>
      <w:r w:rsidR="00CD4E78">
        <w:rPr>
          <w:bCs/>
          <w:color w:val="FF0000"/>
        </w:rPr>
        <w:t xml:space="preserve"> Some of those recommendations include: </w:t>
      </w:r>
      <w:r w:rsidR="00127196">
        <w:rPr>
          <w:bCs/>
          <w:color w:val="FF0000"/>
        </w:rPr>
        <w:t>a</w:t>
      </w:r>
      <w:r w:rsidR="00CD4E78">
        <w:rPr>
          <w:bCs/>
          <w:color w:val="FF0000"/>
        </w:rPr>
        <w:t xml:space="preserve">llowing for </w:t>
      </w:r>
      <w:r w:rsidR="00D5401E">
        <w:rPr>
          <w:bCs/>
          <w:color w:val="FF0000"/>
        </w:rPr>
        <w:t>increased length of time for pushing during the active stage of labor (at</w:t>
      </w:r>
      <w:r w:rsidR="00CD4E78" w:rsidRPr="00CD4E78">
        <w:rPr>
          <w:bCs/>
          <w:color w:val="FF0000"/>
        </w:rPr>
        <w:t xml:space="preserve"> least 2 hours of pushing in multiparous women</w:t>
      </w:r>
      <w:r w:rsidR="00D5401E">
        <w:rPr>
          <w:bCs/>
          <w:color w:val="FF0000"/>
        </w:rPr>
        <w:t xml:space="preserve"> and 3 hours of pushing for nulliparous patients)</w:t>
      </w:r>
      <w:r w:rsidR="00392E48">
        <w:rPr>
          <w:bCs/>
          <w:color w:val="FF0000"/>
        </w:rPr>
        <w:t xml:space="preserve"> and </w:t>
      </w:r>
      <w:r w:rsidR="00D5401E">
        <w:rPr>
          <w:bCs/>
          <w:color w:val="FF0000"/>
        </w:rPr>
        <w:t>o</w:t>
      </w:r>
      <w:r w:rsidR="00D5401E" w:rsidRPr="00D5401E">
        <w:rPr>
          <w:bCs/>
          <w:color w:val="FF0000"/>
        </w:rPr>
        <w:t>perative vaginal delivery in the second stage of labor by experienced and well-trained physicians should be considered a safe, acceptable alternative to cesarean delivery. Training in, and ongoing maintenance of, practical skills related to operative vaginal delivery should be encouraged</w:t>
      </w:r>
      <w:r w:rsidR="00631C0C">
        <w:rPr>
          <w:bCs/>
          <w:color w:val="FF0000"/>
        </w:rPr>
        <w:t xml:space="preserve"> (forceps or manual rotation/aversion)</w:t>
      </w:r>
      <w:r w:rsidR="00F17A0D">
        <w:rPr>
          <w:bCs/>
          <w:color w:val="FF0000"/>
        </w:rPr>
        <w:t xml:space="preserve">. </w:t>
      </w:r>
      <w:r w:rsidR="00723C7F" w:rsidRPr="000E4CF5">
        <w:rPr>
          <w:color w:val="FF0000"/>
        </w:rPr>
        <w:t>Several</w:t>
      </w:r>
      <w:r w:rsidR="00F17A0D" w:rsidRPr="000E4CF5">
        <w:rPr>
          <w:color w:val="FF0000"/>
        </w:rPr>
        <w:t xml:space="preserve"> approaches are needed to reduce the primary cesarean delivery rate, which in turn would lower the repeat cesarean delivery rate. Although national and regional organizations can take the lead in setting the agenda regarding the safe prevention of primary cesarean delivery, such an agenda will need to be prioritized at the level of practices, hospitals, health care systems, and, of course, patients.</w:t>
      </w:r>
    </w:p>
    <w:p w14:paraId="49C3C66C" w14:textId="00FA5D56" w:rsidR="00F25002" w:rsidRPr="00D5401E" w:rsidRDefault="00723C7F" w:rsidP="00723C7F">
      <w:pPr>
        <w:pStyle w:val="BodyText"/>
        <w:ind w:firstLine="577"/>
        <w:rPr>
          <w:bCs/>
          <w:color w:val="FF0000"/>
          <w:sz w:val="22"/>
        </w:rPr>
      </w:pPr>
      <w:r w:rsidRPr="00723C7F">
        <w:rPr>
          <w:bCs/>
          <w:color w:val="FF0000"/>
          <w:sz w:val="22"/>
        </w:rPr>
        <w:t xml:space="preserve">A 2007 review found that the cesarean delivery rate was reduced by 13% when audit and feedback were used exclusively </w:t>
      </w:r>
      <w:r w:rsidR="00983B38">
        <w:rPr>
          <w:bCs/>
          <w:color w:val="FF0000"/>
          <w:sz w:val="22"/>
        </w:rPr>
        <w:t>and</w:t>
      </w:r>
      <w:r w:rsidRPr="00723C7F">
        <w:rPr>
          <w:bCs/>
          <w:color w:val="FF0000"/>
          <w:sz w:val="22"/>
        </w:rPr>
        <w:t xml:space="preserve"> decreased by 27% when audit and feedback were used as part of a multifaceted intervention, which involved second opinions and culture change. Systemic interventions, therefore, provide an important strategic opportunity for reducing cesarean delivery rates. However, the specific interventional approaches have not been studied in large, prospective trials, thus specific recommendations cannot be made.</w:t>
      </w:r>
    </w:p>
    <w:p w14:paraId="744EC91F" w14:textId="46BCA4B6" w:rsidR="00F25002" w:rsidRDefault="00F861F6" w:rsidP="00AF366D">
      <w:pPr>
        <w:pStyle w:val="BodyText"/>
        <w:ind w:firstLine="577"/>
        <w:rPr>
          <w:bCs/>
          <w:color w:val="FF0000"/>
          <w:sz w:val="22"/>
        </w:rPr>
      </w:pPr>
      <w:r w:rsidRPr="00F861F6">
        <w:rPr>
          <w:bCs/>
          <w:color w:val="FF0000"/>
          <w:sz w:val="22"/>
        </w:rPr>
        <w:t>As noted in this source, a large population-based study from Canada found that the risk of severe maternal morbidities––defined as hemorrhage that requires hysterectomy or transfusion, uterine rupture, anesthetic complications, shock, cardiac arrest, acute renal failure, assisted ventilation, venous thromboembolism, major infection, or in-hospital wound disruption or hematoma––was increased threefold for cesarean delivery as compared with vaginal delivery (2.7% versus 0.9%, respectively).  There also are concerns regarding the long-term risks associated with cesarean delivery, particularly those associated with subsequent pregnancies. The incidence of placental abnormalities, such as placenta previa, in future pregnancies increases with each subsequent cesarean delivery, from 1% with one prior cesarean delivery to almost 3% with three or</w:t>
      </w:r>
      <w:r w:rsidR="00AF366D" w:rsidRPr="00AF366D">
        <w:t xml:space="preserve"> </w:t>
      </w:r>
      <w:r w:rsidR="00AF366D" w:rsidRPr="00AF366D">
        <w:rPr>
          <w:bCs/>
          <w:color w:val="FF0000"/>
          <w:sz w:val="22"/>
        </w:rPr>
        <w:t>with three or more prior cesarean deliveries. This combination of complications not only significantly increases maternal morbidity but also increases the risk of adverse neonatal outcomes, such as neonatal intensive care unit admission and perinatal death.</w:t>
      </w:r>
    </w:p>
    <w:p w14:paraId="4E07ABB7" w14:textId="77777777" w:rsidR="00506ACF" w:rsidRPr="00F861F6" w:rsidRDefault="00506ACF" w:rsidP="00AF366D">
      <w:pPr>
        <w:pStyle w:val="BodyText"/>
        <w:ind w:firstLine="577"/>
        <w:rPr>
          <w:bCs/>
          <w:color w:val="FF0000"/>
          <w:sz w:val="22"/>
        </w:rPr>
      </w:pPr>
    </w:p>
    <w:p w14:paraId="72B0F91F" w14:textId="77777777" w:rsidR="00D11041" w:rsidRDefault="00D11041" w:rsidP="009F6D7B">
      <w:pPr>
        <w:pStyle w:val="BodyText"/>
        <w:ind w:firstLine="577"/>
        <w:rPr>
          <w:bCs/>
          <w:color w:val="FF0000"/>
          <w:sz w:val="22"/>
        </w:rPr>
      </w:pPr>
    </w:p>
    <w:p w14:paraId="09B7459A" w14:textId="77777777" w:rsidR="00D11041" w:rsidRDefault="00D11041" w:rsidP="009F6D7B">
      <w:pPr>
        <w:pStyle w:val="BodyText"/>
        <w:ind w:firstLine="577"/>
        <w:rPr>
          <w:bCs/>
          <w:color w:val="FF0000"/>
          <w:sz w:val="22"/>
        </w:rPr>
      </w:pPr>
    </w:p>
    <w:p w14:paraId="2F2C280A" w14:textId="77777777" w:rsidR="00D11041" w:rsidRDefault="00D11041" w:rsidP="009F6D7B">
      <w:pPr>
        <w:pStyle w:val="BodyText"/>
        <w:ind w:firstLine="577"/>
        <w:rPr>
          <w:bCs/>
          <w:color w:val="FF0000"/>
          <w:sz w:val="22"/>
        </w:rPr>
      </w:pPr>
    </w:p>
    <w:p w14:paraId="43F24FCE" w14:textId="77777777" w:rsidR="005A70FF" w:rsidRDefault="005A70FF" w:rsidP="005A70FF">
      <w:pPr>
        <w:pStyle w:val="BodyText"/>
        <w:rPr>
          <w:bCs/>
          <w:color w:val="FF0000"/>
          <w:sz w:val="22"/>
        </w:rPr>
      </w:pPr>
    </w:p>
    <w:p w14:paraId="7C6A2121" w14:textId="7D6FC555" w:rsidR="009F6D7B" w:rsidRPr="009F6D7B" w:rsidRDefault="009F6D7B" w:rsidP="005A70FF">
      <w:pPr>
        <w:pStyle w:val="BodyText"/>
        <w:ind w:firstLine="577"/>
        <w:rPr>
          <w:bCs/>
          <w:color w:val="FF0000"/>
          <w:sz w:val="22"/>
        </w:rPr>
      </w:pPr>
      <w:r w:rsidRPr="009F6D7B">
        <w:rPr>
          <w:bCs/>
          <w:color w:val="FF0000"/>
          <w:sz w:val="22"/>
        </w:rPr>
        <w:t xml:space="preserve">A cross-sectional study of the 2015–2017 California Maternal Quality Care Collaborative (CMQCC) statewide collaborative was conducted to support vaginal birth and reduce primary cesarean delivery. The study solicited hospitals with nulliparous, term, singleton, vertex cesarean delivery rates greater than 23.9%. Fifty-six hospitals with more than 119,000 annual births participated.  Of these, 87.5% were community facilities. Safety measures were derived using data collected as part of routine care and submitted monthly.   Data was obtained from birth certificates, maternal and neonatal discharge diagnosis and procedure files, and selected clinical data elements submitted as supplemental data files. Maternal measures included chorioamnionitis, blood transfusions, third- or fourth-degree lacerations, and operative vaginal delivery. Neonatal measures included the severe unexpected newborn complications metric and 5-minute Apgar scores less than 5. Mixed-effect multivariable logistic regression model was used to calculate odds ratios (Ors) and 95% CIs. </w:t>
      </w:r>
    </w:p>
    <w:p w14:paraId="7D46E39C" w14:textId="6A627BF2" w:rsidR="009F6D7B" w:rsidRDefault="009F6D7B" w:rsidP="009F6D7B">
      <w:pPr>
        <w:pStyle w:val="BodyText"/>
        <w:ind w:firstLine="577"/>
        <w:rPr>
          <w:bCs/>
          <w:color w:val="FF0000"/>
          <w:sz w:val="22"/>
        </w:rPr>
      </w:pPr>
      <w:r w:rsidRPr="009F6D7B">
        <w:rPr>
          <w:bCs/>
          <w:color w:val="FF0000"/>
          <w:sz w:val="22"/>
        </w:rPr>
        <w:t>Results demonstrated among collaborative hospitals that the nulliparous, term, singleton, vertex cesarean delivery rate fell from 29.3% in 2015 to 25.0% in 2017.   The tercile of hospitals with the greatest decline (31.2%–20.6%, 2017 vs 2015 aOR 0.54, 95% CI 0.50–0.58) was evaluated to determine whether they had greater risk of poor maternal and neonatal outcomes. No measure was statistically worse, and the severe unexpected newborn complications composite actually declined (3.2%–2.2%, aOR 0.71, 95% CI 0.55–0.92).  The findings of this study support that reductions in cesarean delivery rates need not lead to worse neonatal or maternal outcomes.</w:t>
      </w:r>
    </w:p>
    <w:p w14:paraId="5F39D25F" w14:textId="77777777" w:rsidR="00674F2C" w:rsidRDefault="00674F2C" w:rsidP="009F6D7B">
      <w:pPr>
        <w:pStyle w:val="BodyText"/>
        <w:ind w:firstLine="577"/>
        <w:rPr>
          <w:bCs/>
          <w:color w:val="FF0000"/>
          <w:sz w:val="22"/>
        </w:rPr>
      </w:pPr>
    </w:p>
    <w:p w14:paraId="6E90AFE9" w14:textId="0E7B450C" w:rsidR="005A70FF" w:rsidRDefault="00A23C89" w:rsidP="005A70FF">
      <w:pPr>
        <w:widowControl/>
        <w:autoSpaceDE/>
        <w:autoSpaceDN/>
        <w:rPr>
          <w:b/>
          <w:bCs/>
          <w:color w:val="FF0000"/>
        </w:rPr>
      </w:pPr>
      <w:r w:rsidRPr="005A70FF">
        <w:rPr>
          <w:b/>
          <w:bCs/>
          <w:color w:val="FF0000"/>
        </w:rPr>
        <w:t xml:space="preserve">Safety </w:t>
      </w:r>
      <w:r w:rsidR="008B46F9">
        <w:rPr>
          <w:b/>
          <w:bCs/>
          <w:color w:val="FF0000"/>
        </w:rPr>
        <w:t>A</w:t>
      </w:r>
      <w:r w:rsidRPr="005A70FF">
        <w:rPr>
          <w:b/>
          <w:bCs/>
          <w:color w:val="FF0000"/>
        </w:rPr>
        <w:t xml:space="preserve">ssessment </w:t>
      </w:r>
      <w:r w:rsidR="008B46F9">
        <w:rPr>
          <w:b/>
          <w:bCs/>
          <w:color w:val="FF0000"/>
        </w:rPr>
        <w:t>S</w:t>
      </w:r>
      <w:r w:rsidRPr="005A70FF">
        <w:rPr>
          <w:b/>
          <w:bCs/>
          <w:color w:val="FF0000"/>
        </w:rPr>
        <w:t xml:space="preserve">cale of a </w:t>
      </w:r>
      <w:r w:rsidR="008B46F9">
        <w:rPr>
          <w:b/>
          <w:bCs/>
          <w:color w:val="FF0000"/>
        </w:rPr>
        <w:t>L</w:t>
      </w:r>
      <w:r w:rsidRPr="005A70FF">
        <w:rPr>
          <w:b/>
          <w:bCs/>
          <w:color w:val="FF0000"/>
        </w:rPr>
        <w:t>arge-</w:t>
      </w:r>
      <w:r w:rsidR="008B46F9">
        <w:rPr>
          <w:b/>
          <w:bCs/>
          <w:color w:val="FF0000"/>
        </w:rPr>
        <w:t>S</w:t>
      </w:r>
      <w:r w:rsidRPr="005A70FF">
        <w:rPr>
          <w:b/>
          <w:bCs/>
          <w:color w:val="FF0000"/>
        </w:rPr>
        <w:t xml:space="preserve">cale </w:t>
      </w:r>
      <w:r w:rsidR="008B46F9">
        <w:rPr>
          <w:b/>
          <w:bCs/>
          <w:color w:val="FF0000"/>
        </w:rPr>
        <w:t>I</w:t>
      </w:r>
      <w:r w:rsidRPr="005A70FF">
        <w:rPr>
          <w:b/>
          <w:bCs/>
          <w:color w:val="FF0000"/>
        </w:rPr>
        <w:t xml:space="preserve">mprovement </w:t>
      </w:r>
      <w:r w:rsidR="008B46F9">
        <w:rPr>
          <w:b/>
          <w:bCs/>
          <w:color w:val="FF0000"/>
        </w:rPr>
        <w:t>C</w:t>
      </w:r>
      <w:r w:rsidRPr="005A70FF">
        <w:rPr>
          <w:b/>
          <w:bCs/>
          <w:color w:val="FF0000"/>
        </w:rPr>
        <w:t xml:space="preserve">ollaborative to </w:t>
      </w:r>
      <w:r w:rsidR="008B46F9">
        <w:rPr>
          <w:b/>
          <w:bCs/>
          <w:color w:val="FF0000"/>
        </w:rPr>
        <w:t>R</w:t>
      </w:r>
      <w:r w:rsidRPr="005A70FF">
        <w:rPr>
          <w:b/>
          <w:bCs/>
          <w:color w:val="FF0000"/>
        </w:rPr>
        <w:t xml:space="preserve">educe </w:t>
      </w:r>
      <w:r w:rsidR="008B46F9">
        <w:rPr>
          <w:b/>
          <w:bCs/>
          <w:color w:val="FF0000"/>
        </w:rPr>
        <w:t>N</w:t>
      </w:r>
      <w:r w:rsidRPr="005A70FF">
        <w:rPr>
          <w:b/>
          <w:bCs/>
          <w:color w:val="FF0000"/>
        </w:rPr>
        <w:t xml:space="preserve">ulliparous </w:t>
      </w:r>
      <w:r w:rsidR="008B46F9">
        <w:rPr>
          <w:b/>
          <w:bCs/>
          <w:color w:val="FF0000"/>
        </w:rPr>
        <w:t>C</w:t>
      </w:r>
      <w:r w:rsidRPr="005A70FF">
        <w:rPr>
          <w:b/>
          <w:bCs/>
          <w:color w:val="FF0000"/>
        </w:rPr>
        <w:t xml:space="preserve">esarean </w:t>
      </w:r>
      <w:r w:rsidR="008B46F9">
        <w:rPr>
          <w:b/>
          <w:bCs/>
          <w:color w:val="FF0000"/>
        </w:rPr>
        <w:t>D</w:t>
      </w:r>
      <w:r w:rsidRPr="005A70FF">
        <w:rPr>
          <w:b/>
          <w:bCs/>
          <w:color w:val="FF0000"/>
        </w:rPr>
        <w:t xml:space="preserve">elivery </w:t>
      </w:r>
      <w:r w:rsidR="008B46F9">
        <w:rPr>
          <w:b/>
          <w:bCs/>
          <w:color w:val="FF0000"/>
        </w:rPr>
        <w:t>R</w:t>
      </w:r>
      <w:r w:rsidRPr="005A70FF">
        <w:rPr>
          <w:b/>
          <w:bCs/>
          <w:color w:val="FF0000"/>
        </w:rPr>
        <w:t xml:space="preserve">ates. </w:t>
      </w:r>
    </w:p>
    <w:p w14:paraId="00566E01" w14:textId="4A2970D5" w:rsidR="00A23C89" w:rsidRPr="006E5851" w:rsidRDefault="005A70FF" w:rsidP="005A70FF">
      <w:pPr>
        <w:widowControl/>
        <w:autoSpaceDE/>
        <w:autoSpaceDN/>
        <w:rPr>
          <w:rFonts w:eastAsia="Times New Roman"/>
          <w:b/>
          <w:bCs/>
          <w:color w:val="FF0000"/>
          <w:szCs w:val="21"/>
        </w:rPr>
      </w:pPr>
      <w:r w:rsidRPr="006E5851">
        <w:rPr>
          <w:b/>
          <w:bCs/>
          <w:color w:val="FF0000"/>
        </w:rPr>
        <w:t>Main, E.K et a</w:t>
      </w:r>
      <w:r w:rsidR="00AF16C9" w:rsidRPr="006E5851">
        <w:rPr>
          <w:b/>
          <w:bCs/>
          <w:color w:val="FF0000"/>
        </w:rPr>
        <w:t>l.</w:t>
      </w:r>
      <w:r w:rsidR="006E5851" w:rsidRPr="006E5851">
        <w:rPr>
          <w:b/>
          <w:bCs/>
          <w:color w:val="FF0000"/>
        </w:rPr>
        <w:t>, 2019</w:t>
      </w:r>
      <w:r w:rsidR="00A23C89" w:rsidRPr="006E5851">
        <w:rPr>
          <w:b/>
          <w:bCs/>
          <w:color w:val="FF0000"/>
        </w:rPr>
        <w:t xml:space="preserve"> </w:t>
      </w:r>
    </w:p>
    <w:p w14:paraId="760030A0" w14:textId="77777777" w:rsidR="00A23C89" w:rsidRDefault="00A23C89" w:rsidP="00322525">
      <w:pPr>
        <w:pStyle w:val="BodyText"/>
        <w:ind w:firstLine="577"/>
        <w:rPr>
          <w:bCs/>
          <w:color w:val="FF0000"/>
          <w:sz w:val="22"/>
        </w:rPr>
      </w:pPr>
    </w:p>
    <w:p w14:paraId="3431EC41" w14:textId="2C6835BC" w:rsidR="00C77C4E" w:rsidRDefault="001F5FD2" w:rsidP="00F172B2">
      <w:pPr>
        <w:widowControl/>
        <w:adjustRightInd w:val="0"/>
        <w:ind w:firstLine="720"/>
        <w:rPr>
          <w:rFonts w:eastAsiaTheme="minorHAnsi"/>
          <w:color w:val="FF0000"/>
        </w:rPr>
      </w:pPr>
      <w:r w:rsidRPr="00F40258">
        <w:rPr>
          <w:rFonts w:eastAsiaTheme="minorHAnsi"/>
          <w:color w:val="FF0000"/>
        </w:rPr>
        <w:t>In 2015, nulliparous, term, singleton, vertex cesarean</w:t>
      </w:r>
      <w:r w:rsidR="002C71A3" w:rsidRPr="00F40258">
        <w:rPr>
          <w:rFonts w:eastAsiaTheme="minorHAnsi"/>
          <w:color w:val="FF0000"/>
        </w:rPr>
        <w:t xml:space="preserve"> </w:t>
      </w:r>
      <w:r w:rsidRPr="00F40258">
        <w:rPr>
          <w:rFonts w:eastAsiaTheme="minorHAnsi"/>
          <w:color w:val="FF0000"/>
        </w:rPr>
        <w:t xml:space="preserve">delivery rate ranged from 11.3% to 76.9% in 248 California hospitals with maternity services. </w:t>
      </w:r>
      <w:r w:rsidR="00C77C4E" w:rsidRPr="00F40258">
        <w:rPr>
          <w:rFonts w:eastAsiaTheme="minorHAnsi"/>
          <w:color w:val="FF0000"/>
        </w:rPr>
        <w:t xml:space="preserve">Fifty-six hospitals, all among those with initial rates above 23.9% participated in CMQCC’s Supporting Vaginal Birth collaborative. </w:t>
      </w:r>
      <w:r w:rsidR="00487336" w:rsidRPr="00F40258">
        <w:rPr>
          <w:rFonts w:eastAsiaTheme="minorHAnsi"/>
          <w:color w:val="FF0000"/>
        </w:rPr>
        <w:t xml:space="preserve">The overall nulliparous, term, singleton, vertex cesarean delivery rates declined by 4.5 percentage points (a relative decline of 15.5%), from 29.1% in the first two quarters in 2015 to 24.6% in the last two quarters in 2017. The largest decline happened in the third and fourth quarters of 2016, when the collaborative initiated. </w:t>
      </w:r>
      <w:r w:rsidR="00E223CB" w:rsidRPr="00F40258">
        <w:rPr>
          <w:rFonts w:eastAsiaTheme="minorHAnsi"/>
          <w:color w:val="FF0000"/>
        </w:rPr>
        <w:t>Twenty-four of the 56 participating hospitals lowered their nulliparous, term, singleton, vertex cesarean delivery rates to below the Healthy People 2020 target of 23.9% in 2017. Ten of them lowered the rates even further, to below 20% (range 15.0–19.9%). Similar to the analysis based on the absolute amount of decline shown above, we did not observe an increase in adverse maternal or neonatal outcomes even among those with these lower final rates (hospitals with 2017 nulliparous, term, singleton, vertex cesarean delivery rate between 15.0% and 19.9%). Rates of severe unexpected newborn complications</w:t>
      </w:r>
      <w:r w:rsidR="002D0CD1" w:rsidRPr="00F40258">
        <w:rPr>
          <w:rFonts w:eastAsiaTheme="minorHAnsi"/>
          <w:color w:val="FF0000"/>
        </w:rPr>
        <w:t xml:space="preserve"> also declined from 2.5% in 2015 to 2.2% in 2017 in this group, but not significantly with an adjusted OR of 0.84 (95% CI 0.58–1.20). </w:t>
      </w:r>
      <w:r w:rsidR="00DB1376" w:rsidRPr="00F40258">
        <w:rPr>
          <w:rFonts w:eastAsiaTheme="minorHAnsi"/>
          <w:color w:val="FF0000"/>
        </w:rPr>
        <w:t xml:space="preserve">The size of this study is noteworthy. Fifty-six hospitals participated with a total annual delivery volume of 119,000 women. This is a higher delivery volume than in all but nine U.S. states. All hospitals in the collaborative had a starting nulliparous, term, singleton, vertex cesarean delivery rate higher than the Healthy People 2020 national target of 23.9%.18 Importantly, the majority of collaborative hospitals were community hospitals (87%), representing the predominant care model in the United States. </w:t>
      </w:r>
      <w:r w:rsidR="00830F2E" w:rsidRPr="00F40258">
        <w:rPr>
          <w:rFonts w:eastAsiaTheme="minorHAnsi"/>
          <w:color w:val="FF0000"/>
        </w:rPr>
        <w:t>The CMQCC Supporting Vaginal Birth</w:t>
      </w:r>
      <w:r w:rsidR="00BB050C">
        <w:rPr>
          <w:rFonts w:eastAsiaTheme="minorHAnsi"/>
          <w:i/>
          <w:iCs/>
          <w:color w:val="FF0000"/>
        </w:rPr>
        <w:t xml:space="preserve"> </w:t>
      </w:r>
      <w:r w:rsidR="00830F2E" w:rsidRPr="00BB050C">
        <w:rPr>
          <w:rFonts w:eastAsiaTheme="minorHAnsi"/>
          <w:color w:val="FF0000"/>
        </w:rPr>
        <w:t>collaborative interventions</w:t>
      </w:r>
      <w:r w:rsidR="00830F2E" w:rsidRPr="004320F5">
        <w:rPr>
          <w:rFonts w:eastAsiaTheme="minorHAnsi"/>
          <w:color w:val="FF0000"/>
        </w:rPr>
        <w:t xml:space="preserve"> emphasized reducing latent phase cesarean deliveries, implementation of ACOG–SMFM guidelines for diagnosis and management of active phase disorders, and enhanced nursing support (increased walking and upright positioning, use of peanut balls, and interpersonal coaching). Providers did not increase their operativ</w:t>
      </w:r>
      <w:r w:rsidR="00A00993" w:rsidRPr="004320F5">
        <w:rPr>
          <w:rFonts w:eastAsiaTheme="minorHAnsi"/>
          <w:color w:val="FF0000"/>
        </w:rPr>
        <w:t>e vaginal delivery rates.</w:t>
      </w:r>
      <w:r w:rsidR="00E65B93" w:rsidRPr="004320F5">
        <w:rPr>
          <w:rFonts w:eastAsiaTheme="minorHAnsi"/>
          <w:color w:val="FF0000"/>
        </w:rPr>
        <w:t xml:space="preserve"> F</w:t>
      </w:r>
      <w:r w:rsidR="00A00993" w:rsidRPr="004320F5">
        <w:rPr>
          <w:rFonts w:eastAsiaTheme="minorHAnsi"/>
          <w:color w:val="FF0000"/>
        </w:rPr>
        <w:t xml:space="preserve">indings provide evidence that a reduction in first birth cesarean delivery rates need not be associated with more difficult vaginal births or higher rates of major perineal lacerations. </w:t>
      </w:r>
      <w:r w:rsidR="00FA3F07" w:rsidRPr="004320F5">
        <w:rPr>
          <w:rFonts w:eastAsiaTheme="minorHAnsi"/>
          <w:color w:val="FF0000"/>
        </w:rPr>
        <w:t xml:space="preserve">The large number of nulliparous, term, singleton, vertex deliveries provided the ability to confidently examine maternal and neonatal complications that are infrequent. The range of improvement among the 56 hospitals created the opportunity to perform a sensitivity analysis </w:t>
      </w:r>
      <w:r w:rsidR="00FA3F07" w:rsidRPr="004320F5">
        <w:rPr>
          <w:rFonts w:eastAsiaTheme="minorHAnsi"/>
          <w:color w:val="FF0000"/>
        </w:rPr>
        <w:lastRenderedPageBreak/>
        <w:t>comparing</w:t>
      </w:r>
      <w:r w:rsidR="00F172B2" w:rsidRPr="004320F5">
        <w:rPr>
          <w:rFonts w:eastAsiaTheme="minorHAnsi"/>
          <w:color w:val="FF0000"/>
        </w:rPr>
        <w:t xml:space="preserve"> </w:t>
      </w:r>
      <w:r w:rsidR="00FA3F07" w:rsidRPr="004320F5">
        <w:rPr>
          <w:rFonts w:eastAsiaTheme="minorHAnsi"/>
          <w:color w:val="FF0000"/>
        </w:rPr>
        <w:t>hospitals with very high levels of cesarean delivery rate reduction (217.1 to 27.1 percentage points) with those with limited change (22.4 to +4.7 percentage points). The rate of severe unexpected newborn complications (the major composite index for neonatal outcomes) actually improved in hospitals with the greatest reduction</w:t>
      </w:r>
      <w:r w:rsidR="00EB3DC2" w:rsidRPr="004320F5">
        <w:rPr>
          <w:rFonts w:eastAsiaTheme="minorHAnsi"/>
          <w:color w:val="FF0000"/>
        </w:rPr>
        <w:t xml:space="preserve"> in nulliparous, term, singleton, vertex cesarean delivery rate. This is in concordance with several of the single hospital studies noted. </w:t>
      </w:r>
    </w:p>
    <w:p w14:paraId="34E2306F" w14:textId="6468E292" w:rsidR="00641C3F" w:rsidRDefault="00641C3F" w:rsidP="00F172B2">
      <w:pPr>
        <w:widowControl/>
        <w:adjustRightInd w:val="0"/>
        <w:ind w:firstLine="720"/>
        <w:rPr>
          <w:rFonts w:eastAsiaTheme="minorHAnsi"/>
          <w:color w:val="FF0000"/>
        </w:rPr>
      </w:pPr>
    </w:p>
    <w:p w14:paraId="26C8E97C" w14:textId="77777777" w:rsidR="00641C3F" w:rsidRPr="004320F5" w:rsidRDefault="00641C3F" w:rsidP="00F172B2">
      <w:pPr>
        <w:widowControl/>
        <w:adjustRightInd w:val="0"/>
        <w:ind w:firstLine="720"/>
        <w:rPr>
          <w:rFonts w:eastAsiaTheme="minorHAnsi"/>
          <w:color w:val="FF0000"/>
        </w:rPr>
      </w:pPr>
    </w:p>
    <w:p w14:paraId="3AB4C694" w14:textId="77777777" w:rsidR="00EE582E" w:rsidRPr="00EE582E" w:rsidRDefault="00EE582E" w:rsidP="00EE582E">
      <w:pPr>
        <w:pStyle w:val="BodyText"/>
        <w:rPr>
          <w:bCs/>
          <w:color w:val="FF0000"/>
          <w:sz w:val="22"/>
        </w:rPr>
      </w:pPr>
    </w:p>
    <w:p w14:paraId="71C58F86" w14:textId="2130FFF4" w:rsidR="00F94735" w:rsidRDefault="00895B79" w:rsidP="00EF430D">
      <w:pPr>
        <w:ind w:right="991"/>
        <w:rPr>
          <w:b/>
        </w:rPr>
      </w:pPr>
      <w:r>
        <w:rPr>
          <w:b/>
        </w:rPr>
        <w:t>1a.3. SYSTEMATIC REVIEW(SR) OF THE EVIDENCE (for INTERMEDIATE OUTCOME, PROCESS, OR STRUCTURE PERFORMANCE MEASURES, INCLUDING THOSE THAT ARE INSTRUMENT-BASED) If the</w:t>
      </w:r>
      <w:r w:rsidR="00D07ACB">
        <w:rPr>
          <w:b/>
        </w:rPr>
        <w:t xml:space="preserve"> </w:t>
      </w:r>
      <w:r>
        <w:rPr>
          <w:b/>
        </w:rPr>
        <w:t xml:space="preserve">evidence is not based on a systematic review go to section </w:t>
      </w:r>
    </w:p>
    <w:p w14:paraId="3B3504F4" w14:textId="3AC9B017" w:rsidR="00F94735" w:rsidRPr="00A63065" w:rsidRDefault="00A63065" w:rsidP="00EF430D">
      <w:pPr>
        <w:ind w:right="678"/>
        <w:rPr>
          <w:bCs/>
          <w:color w:val="FF0000"/>
        </w:rPr>
      </w:pPr>
      <w:r w:rsidRPr="00A63065">
        <w:rPr>
          <w:bCs/>
          <w:color w:val="FF0000"/>
        </w:rPr>
        <w:t>Not applicable</w:t>
      </w:r>
    </w:p>
    <w:p w14:paraId="6675476F" w14:textId="77777777" w:rsidR="00A63065" w:rsidRDefault="00A63065" w:rsidP="00EF430D">
      <w:pPr>
        <w:ind w:right="678"/>
        <w:rPr>
          <w:b/>
        </w:rPr>
      </w:pPr>
    </w:p>
    <w:p w14:paraId="37FE1C62" w14:textId="431FEF88" w:rsidR="00C4496D" w:rsidRDefault="00895B79" w:rsidP="00EF430D">
      <w:pPr>
        <w:ind w:right="678"/>
        <w:rPr>
          <w:b/>
        </w:rPr>
      </w:pPr>
      <w:r>
        <w:rPr>
          <w:b/>
        </w:rPr>
        <w:t>1a.4) If you wish to include more than one systematic review, add additional tables.</w:t>
      </w:r>
    </w:p>
    <w:p w14:paraId="7A3A3F83" w14:textId="7A4D3519" w:rsidR="00F75D01" w:rsidRDefault="00895B79" w:rsidP="00EF430D">
      <w:pPr>
        <w:ind w:left="2" w:right="597"/>
        <w:rPr>
          <w:b/>
        </w:rPr>
      </w:pPr>
      <w:r>
        <w:rPr>
          <w:b/>
        </w:rPr>
        <w:t xml:space="preserve">What is the source of the </w:t>
      </w:r>
      <w:r>
        <w:rPr>
          <w:b/>
          <w:u w:val="single"/>
        </w:rPr>
        <w:t>systematic review of the body of evidence</w:t>
      </w:r>
      <w:r>
        <w:rPr>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7EFB00CE" w14:textId="1D63C28F" w:rsidR="00A63065" w:rsidRPr="00A63065" w:rsidRDefault="00A63065" w:rsidP="00EF430D">
      <w:pPr>
        <w:ind w:left="2" w:right="597"/>
        <w:rPr>
          <w:bCs/>
          <w:color w:val="FF0000"/>
        </w:rPr>
      </w:pPr>
      <w:r w:rsidRPr="00A63065">
        <w:rPr>
          <w:bCs/>
          <w:color w:val="FF0000"/>
        </w:rPr>
        <w:t>Not applicable</w:t>
      </w:r>
    </w:p>
    <w:p w14:paraId="172BA0BF" w14:textId="77777777" w:rsidR="00A63065" w:rsidRPr="00A63065" w:rsidRDefault="00A63065" w:rsidP="00A63065">
      <w:pPr>
        <w:ind w:left="579" w:right="597"/>
        <w:rPr>
          <w:b/>
        </w:rPr>
      </w:pPr>
    </w:p>
    <w:p w14:paraId="55C96580" w14:textId="7C30760C" w:rsidR="00C4496D" w:rsidRDefault="00895B79" w:rsidP="00F75D01">
      <w:pPr>
        <w:pStyle w:val="Heading2"/>
        <w:spacing w:before="7"/>
        <w:ind w:left="579"/>
      </w:pPr>
      <w:r w:rsidRPr="00F25002">
        <w:rPr>
          <w:rFonts w:ascii="MS Gothic" w:hAnsi="MS Gothic"/>
          <w:color w:val="0000FF"/>
          <w:sz w:val="24"/>
        </w:rPr>
        <w:t>☐</w:t>
      </w:r>
      <w:r w:rsidRPr="00F25002">
        <w:t>Clinical Practice Guideline recommendation</w:t>
      </w:r>
      <w:r>
        <w:t xml:space="preserve"> </w:t>
      </w:r>
    </w:p>
    <w:p w14:paraId="2A47B7F4" w14:textId="77777777" w:rsidR="00C4496D" w:rsidRDefault="00895B79" w:rsidP="00F75D01">
      <w:pPr>
        <w:spacing w:before="76"/>
        <w:ind w:left="579"/>
      </w:pPr>
      <w:r>
        <w:rPr>
          <w:rFonts w:ascii="MS Gothic" w:hAnsi="MS Gothic"/>
          <w:color w:val="0000FF"/>
          <w:sz w:val="24"/>
        </w:rPr>
        <w:t>☐</w:t>
      </w:r>
      <w:r>
        <w:t>US Preventive Services Task Force Recommendation</w:t>
      </w:r>
    </w:p>
    <w:p w14:paraId="1C68E2B6" w14:textId="77777777" w:rsidR="00C4496D" w:rsidRDefault="00895B79" w:rsidP="00F75D01">
      <w:pPr>
        <w:spacing w:before="76" w:line="273" w:lineRule="auto"/>
        <w:ind w:left="579" w:hanging="1"/>
      </w:pPr>
      <w:r w:rsidRPr="000E4CF5">
        <w:rPr>
          <w:rFonts w:ascii="MS Gothic" w:hAnsi="MS Gothic"/>
          <w:color w:val="0000FF"/>
          <w:sz w:val="24"/>
        </w:rPr>
        <w:t>☐</w:t>
      </w:r>
      <w:r w:rsidRPr="000E4CF5">
        <w:t>Other systematic review and grading of the body of evidence (</w:t>
      </w:r>
      <w:r w:rsidRPr="000E4CF5">
        <w:rPr>
          <w:i/>
        </w:rPr>
        <w:t>e.g., Cochrane Collaboration, AHRQ Evidence Practice Center</w:t>
      </w:r>
      <w:r w:rsidRPr="000E4CF5">
        <w:t>)</w:t>
      </w:r>
    </w:p>
    <w:p w14:paraId="7ECE1623" w14:textId="75C8BB7B" w:rsidR="00C4496D" w:rsidRPr="00567E2E" w:rsidRDefault="00895B79" w:rsidP="00F75D01">
      <w:pPr>
        <w:pStyle w:val="Heading2"/>
        <w:spacing w:line="330" w:lineRule="exact"/>
        <w:ind w:left="579"/>
        <w:rPr>
          <w:color w:val="215868" w:themeColor="accent5" w:themeShade="80"/>
        </w:rPr>
      </w:pPr>
      <w:r w:rsidRPr="006623E2">
        <w:rPr>
          <w:rFonts w:ascii="MS Gothic" w:hAnsi="MS Gothic"/>
          <w:color w:val="0000FF"/>
          <w:sz w:val="24"/>
        </w:rPr>
        <w:t>☐</w:t>
      </w:r>
      <w:r w:rsidRPr="006623E2">
        <w:t>Other</w:t>
      </w:r>
      <w:r w:rsidR="00567E2E" w:rsidRPr="006623E2">
        <w:t xml:space="preserve"> </w:t>
      </w:r>
    </w:p>
    <w:p w14:paraId="43343B7E" w14:textId="2859EAF6" w:rsidR="00C4496D" w:rsidRDefault="00C4496D">
      <w:pPr>
        <w:pStyle w:val="BodyText"/>
      </w:pPr>
    </w:p>
    <w:p w14:paraId="1C979851" w14:textId="7EBB10B2" w:rsidR="003F249B" w:rsidRDefault="003F249B">
      <w:pPr>
        <w:pStyle w:val="BodyText"/>
      </w:pPr>
    </w:p>
    <w:p w14:paraId="697C827C" w14:textId="68A6B8C5" w:rsidR="003F249B" w:rsidRDefault="003F249B">
      <w:pPr>
        <w:pStyle w:val="BodyText"/>
      </w:pPr>
    </w:p>
    <w:p w14:paraId="5F0B42B8" w14:textId="4E0B6EED" w:rsidR="003F249B" w:rsidRDefault="003F249B">
      <w:pPr>
        <w:pStyle w:val="BodyText"/>
      </w:pPr>
    </w:p>
    <w:p w14:paraId="27AB4B06" w14:textId="7169DF3F" w:rsidR="003F249B" w:rsidRDefault="003F249B">
      <w:pPr>
        <w:pStyle w:val="BodyText"/>
      </w:pPr>
    </w:p>
    <w:p w14:paraId="05A66B54" w14:textId="5C70174F" w:rsidR="003F249B" w:rsidRDefault="003F249B">
      <w:pPr>
        <w:pStyle w:val="BodyText"/>
      </w:pPr>
    </w:p>
    <w:p w14:paraId="533B0877" w14:textId="1AC0A41C" w:rsidR="003F249B" w:rsidRDefault="003F249B">
      <w:pPr>
        <w:pStyle w:val="BodyText"/>
      </w:pPr>
    </w:p>
    <w:p w14:paraId="6B6488B5" w14:textId="0ADD6CFC" w:rsidR="003F249B" w:rsidRDefault="003F249B">
      <w:pPr>
        <w:pStyle w:val="BodyText"/>
      </w:pPr>
    </w:p>
    <w:p w14:paraId="6BAAC24E" w14:textId="10ED2479" w:rsidR="003F249B" w:rsidRDefault="003F249B">
      <w:pPr>
        <w:pStyle w:val="BodyText"/>
      </w:pPr>
    </w:p>
    <w:p w14:paraId="749CEC6D" w14:textId="432713D3" w:rsidR="003F249B" w:rsidRDefault="003F249B">
      <w:pPr>
        <w:pStyle w:val="BodyText"/>
      </w:pPr>
    </w:p>
    <w:p w14:paraId="4D3053CD" w14:textId="520BCA9F" w:rsidR="003F249B" w:rsidRDefault="003F249B">
      <w:pPr>
        <w:pStyle w:val="BodyText"/>
      </w:pPr>
    </w:p>
    <w:p w14:paraId="296905DD" w14:textId="3D12A96E" w:rsidR="003F249B" w:rsidRDefault="003F249B">
      <w:pPr>
        <w:pStyle w:val="BodyText"/>
      </w:pPr>
    </w:p>
    <w:p w14:paraId="0FFAB901" w14:textId="20981F40" w:rsidR="003F249B" w:rsidRDefault="003F249B">
      <w:pPr>
        <w:pStyle w:val="BodyText"/>
      </w:pPr>
    </w:p>
    <w:p w14:paraId="06F3A375" w14:textId="77777777" w:rsidR="003F249B" w:rsidRDefault="003F249B">
      <w:pPr>
        <w:pStyle w:val="BodyText"/>
      </w:pPr>
    </w:p>
    <w:p w14:paraId="45DB3780" w14:textId="1DD71B70" w:rsidR="00C4496D" w:rsidRPr="004F6931" w:rsidRDefault="00C4496D">
      <w:pPr>
        <w:pStyle w:val="BodyText"/>
        <w:spacing w:before="10"/>
        <w:rPr>
          <w:b/>
          <w:bCs/>
          <w:color w:val="FF0000"/>
          <w:sz w:val="24"/>
          <w:szCs w:val="24"/>
        </w:rPr>
      </w:pPr>
    </w:p>
    <w:p w14:paraId="48BE4DFA" w14:textId="77777777" w:rsidR="00C4496D" w:rsidRDefault="00C4496D">
      <w:pPr>
        <w:rPr>
          <w:rFonts w:ascii="Times New Roman"/>
        </w:rPr>
      </w:pPr>
    </w:p>
    <w:p w14:paraId="0EC98B4D" w14:textId="77777777" w:rsidR="00857AEB" w:rsidRDefault="00D462E1" w:rsidP="00D462E1">
      <w:pPr>
        <w:rPr>
          <w:rFonts w:ascii="Times New Roman"/>
          <w:b/>
          <w:bCs/>
          <w:sz w:val="24"/>
          <w:szCs w:val="24"/>
        </w:rPr>
      </w:pPr>
      <w:r>
        <w:rPr>
          <w:rFonts w:ascii="Times New Roman"/>
          <w:b/>
          <w:bCs/>
          <w:sz w:val="24"/>
          <w:szCs w:val="24"/>
        </w:rPr>
        <w:t xml:space="preserve"> </w:t>
      </w:r>
    </w:p>
    <w:p w14:paraId="4AD100A0" w14:textId="77777777" w:rsidR="00081395" w:rsidRDefault="00081395" w:rsidP="00D462E1">
      <w:pPr>
        <w:rPr>
          <w:b/>
          <w:bCs/>
          <w:sz w:val="24"/>
          <w:szCs w:val="24"/>
        </w:rPr>
      </w:pPr>
    </w:p>
    <w:p w14:paraId="7B67AC1B" w14:textId="77777777" w:rsidR="00081395" w:rsidRDefault="00081395" w:rsidP="00D462E1">
      <w:pPr>
        <w:rPr>
          <w:b/>
          <w:bCs/>
          <w:sz w:val="24"/>
          <w:szCs w:val="24"/>
        </w:rPr>
      </w:pPr>
    </w:p>
    <w:p w14:paraId="3743D10C" w14:textId="77777777" w:rsidR="00081395" w:rsidRDefault="00081395" w:rsidP="00D462E1">
      <w:pPr>
        <w:rPr>
          <w:b/>
          <w:bCs/>
          <w:sz w:val="24"/>
          <w:szCs w:val="24"/>
        </w:rPr>
      </w:pPr>
    </w:p>
    <w:p w14:paraId="0203ECC7" w14:textId="77777777" w:rsidR="00081395" w:rsidRDefault="00081395" w:rsidP="00D462E1">
      <w:pPr>
        <w:rPr>
          <w:b/>
          <w:bCs/>
          <w:sz w:val="24"/>
          <w:szCs w:val="24"/>
        </w:rPr>
      </w:pPr>
    </w:p>
    <w:p w14:paraId="59A7BD59" w14:textId="77777777" w:rsidR="00081395" w:rsidRDefault="00081395" w:rsidP="00D462E1">
      <w:pPr>
        <w:rPr>
          <w:b/>
          <w:bCs/>
          <w:sz w:val="24"/>
          <w:szCs w:val="24"/>
        </w:rPr>
      </w:pPr>
    </w:p>
    <w:p w14:paraId="3E8A4C6E" w14:textId="71729ED5" w:rsidR="00EF430D" w:rsidRDefault="00EF430D" w:rsidP="00D462E1">
      <w:pPr>
        <w:rPr>
          <w:b/>
          <w:bCs/>
          <w:sz w:val="24"/>
          <w:szCs w:val="24"/>
        </w:rPr>
      </w:pPr>
    </w:p>
    <w:p w14:paraId="55444FB5" w14:textId="77777777" w:rsidR="007F74C2" w:rsidRDefault="007F74C2" w:rsidP="00D462E1">
      <w:pPr>
        <w:rPr>
          <w:b/>
          <w:bCs/>
          <w:sz w:val="24"/>
          <w:szCs w:val="24"/>
        </w:rPr>
      </w:pPr>
    </w:p>
    <w:p w14:paraId="27FC75D5" w14:textId="3C41ACAD" w:rsidR="00875A77" w:rsidRPr="00D475CB" w:rsidRDefault="00857AEB" w:rsidP="00D462E1">
      <w:r>
        <w:rPr>
          <w:b/>
          <w:bCs/>
          <w:sz w:val="24"/>
          <w:szCs w:val="24"/>
        </w:rPr>
        <w:t>2016</w:t>
      </w:r>
      <w:r w:rsidR="00875A77" w:rsidRPr="00D475CB">
        <w:rPr>
          <w:b/>
          <w:bCs/>
          <w:sz w:val="24"/>
          <w:szCs w:val="24"/>
        </w:rPr>
        <w:t xml:space="preserve"> submission</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68"/>
        <w:gridCol w:w="5131"/>
      </w:tblGrid>
      <w:tr w:rsidR="00C62464" w:rsidRPr="00D475CB" w14:paraId="7E4AFADF" w14:textId="77777777" w:rsidTr="00567E2E">
        <w:trPr>
          <w:trHeight w:val="2060"/>
        </w:trPr>
        <w:tc>
          <w:tcPr>
            <w:tcW w:w="4068" w:type="dxa"/>
          </w:tcPr>
          <w:p w14:paraId="64177CC2" w14:textId="77777777" w:rsidR="00C62464" w:rsidRPr="00D475CB" w:rsidRDefault="00C62464" w:rsidP="00567E2E">
            <w:pPr>
              <w:pStyle w:val="TableParagraph"/>
              <w:spacing w:before="1"/>
              <w:rPr>
                <w:b/>
              </w:rPr>
            </w:pPr>
            <w:r w:rsidRPr="00D475CB">
              <w:rPr>
                <w:b/>
              </w:rPr>
              <w:t>Source of Systematic Review:</w:t>
            </w:r>
          </w:p>
          <w:p w14:paraId="7419FB76" w14:textId="77777777" w:rsidR="00C62464" w:rsidRPr="00D475CB" w:rsidRDefault="00C62464" w:rsidP="00567E2E">
            <w:pPr>
              <w:pStyle w:val="TableParagraph"/>
              <w:numPr>
                <w:ilvl w:val="0"/>
                <w:numId w:val="2"/>
              </w:numPr>
              <w:tabs>
                <w:tab w:val="left" w:pos="822"/>
                <w:tab w:val="left" w:pos="823"/>
              </w:tabs>
              <w:ind w:hanging="360"/>
              <w:rPr>
                <w:b/>
              </w:rPr>
            </w:pPr>
            <w:r w:rsidRPr="00D475CB">
              <w:rPr>
                <w:b/>
              </w:rPr>
              <w:t>Title</w:t>
            </w:r>
          </w:p>
          <w:p w14:paraId="23D0C7AB" w14:textId="77777777" w:rsidR="00C62464" w:rsidRPr="00D475CB" w:rsidRDefault="00C62464" w:rsidP="00567E2E">
            <w:pPr>
              <w:pStyle w:val="TableParagraph"/>
              <w:numPr>
                <w:ilvl w:val="0"/>
                <w:numId w:val="2"/>
              </w:numPr>
              <w:tabs>
                <w:tab w:val="left" w:pos="822"/>
                <w:tab w:val="left" w:pos="823"/>
              </w:tabs>
              <w:spacing w:before="39"/>
              <w:ind w:hanging="360"/>
              <w:rPr>
                <w:b/>
              </w:rPr>
            </w:pPr>
            <w:r w:rsidRPr="00D475CB">
              <w:rPr>
                <w:b/>
              </w:rPr>
              <w:t>Author</w:t>
            </w:r>
          </w:p>
          <w:p w14:paraId="1B88B0E2" w14:textId="77777777" w:rsidR="00C62464" w:rsidRPr="00D475CB" w:rsidRDefault="00C62464" w:rsidP="00567E2E">
            <w:pPr>
              <w:pStyle w:val="TableParagraph"/>
              <w:numPr>
                <w:ilvl w:val="0"/>
                <w:numId w:val="2"/>
              </w:numPr>
              <w:tabs>
                <w:tab w:val="left" w:pos="823"/>
                <w:tab w:val="left" w:pos="824"/>
              </w:tabs>
              <w:spacing w:before="41"/>
              <w:ind w:left="823" w:hanging="360"/>
              <w:rPr>
                <w:b/>
              </w:rPr>
            </w:pPr>
            <w:r w:rsidRPr="00D475CB">
              <w:rPr>
                <w:b/>
              </w:rPr>
              <w:t>Date</w:t>
            </w:r>
          </w:p>
          <w:p w14:paraId="65F685B2" w14:textId="77777777" w:rsidR="00C62464" w:rsidRPr="00D475CB" w:rsidRDefault="00C62464" w:rsidP="00567E2E">
            <w:pPr>
              <w:pStyle w:val="TableParagraph"/>
              <w:numPr>
                <w:ilvl w:val="0"/>
                <w:numId w:val="2"/>
              </w:numPr>
              <w:tabs>
                <w:tab w:val="left" w:pos="823"/>
                <w:tab w:val="left" w:pos="824"/>
              </w:tabs>
              <w:spacing w:before="38"/>
              <w:ind w:left="823" w:hanging="360"/>
              <w:rPr>
                <w:b/>
              </w:rPr>
            </w:pPr>
            <w:r w:rsidRPr="00D475CB">
              <w:rPr>
                <w:b/>
              </w:rPr>
              <w:t>Citation, including page</w:t>
            </w:r>
            <w:r w:rsidRPr="00D475CB">
              <w:rPr>
                <w:b/>
                <w:spacing w:val="-14"/>
              </w:rPr>
              <w:t xml:space="preserve"> </w:t>
            </w:r>
            <w:r w:rsidRPr="00D475CB">
              <w:rPr>
                <w:b/>
              </w:rPr>
              <w:t>number</w:t>
            </w:r>
          </w:p>
          <w:p w14:paraId="3D73F553" w14:textId="77777777" w:rsidR="00C62464" w:rsidRPr="00D475CB" w:rsidRDefault="00C62464" w:rsidP="00567E2E">
            <w:pPr>
              <w:pStyle w:val="TableParagraph"/>
              <w:numPr>
                <w:ilvl w:val="0"/>
                <w:numId w:val="2"/>
              </w:numPr>
              <w:tabs>
                <w:tab w:val="left" w:pos="823"/>
                <w:tab w:val="left" w:pos="824"/>
              </w:tabs>
              <w:spacing w:before="41"/>
              <w:ind w:left="823" w:hanging="360"/>
              <w:rPr>
                <w:b/>
              </w:rPr>
            </w:pPr>
            <w:r w:rsidRPr="00D475CB">
              <w:rPr>
                <w:b/>
              </w:rPr>
              <w:t>URL</w:t>
            </w:r>
          </w:p>
        </w:tc>
        <w:tc>
          <w:tcPr>
            <w:tcW w:w="5131" w:type="dxa"/>
          </w:tcPr>
          <w:p w14:paraId="26A62579" w14:textId="597A3902" w:rsidR="002567A0" w:rsidRPr="001557FC" w:rsidRDefault="002567A0" w:rsidP="002567A0">
            <w:pPr>
              <w:rPr>
                <w:rFonts w:eastAsia="Times New Roman"/>
                <w:color w:val="0000FF"/>
              </w:rPr>
            </w:pPr>
            <w:r w:rsidRPr="00440E7C">
              <w:rPr>
                <w:rFonts w:eastAsia="Times New Roman"/>
                <w:color w:val="0000FF"/>
              </w:rPr>
              <w:t>American College of Obstetricians and Gynecologists (ACOG) Task Force on Cesarean Delivery Rates. Evaluation of Cesarean Delivery. 2000</w:t>
            </w:r>
            <w:r w:rsidR="001557FC">
              <w:rPr>
                <w:rFonts w:eastAsia="Times New Roman"/>
                <w:color w:val="0000FF"/>
              </w:rPr>
              <w:t>. Washington, D.C.</w:t>
            </w:r>
          </w:p>
          <w:p w14:paraId="457E4228" w14:textId="77777777" w:rsidR="00C83318" w:rsidRPr="00440E7C" w:rsidRDefault="00C83318" w:rsidP="00C83318">
            <w:pPr>
              <w:rPr>
                <w:rFonts w:eastAsia="Times New Roman"/>
                <w:color w:val="0000FF"/>
              </w:rPr>
            </w:pPr>
            <w:r w:rsidRPr="00440E7C">
              <w:rPr>
                <w:rFonts w:eastAsia="Times New Roman"/>
                <w:color w:val="0000FF"/>
              </w:rPr>
              <w:t>The American College of Obstetricians and Gynecologists (ACOG) is the nation´s leading group of professionals providing health care for women. The monograph developed by the ACOG Task Force on Cesarean Delivery provides obstetricians and gynecologists with current information on established techniques and clinical management guidelines. The American College of Obstetricians and Gynecologists (the College) continuously surveys the field for advances to be incorporated in these series and monitors existing bulletins to ensure they are current. Individual bulletins are withdrawn from and added to the series on a continuing basis and reaffirmed periodically.</w:t>
            </w:r>
          </w:p>
          <w:p w14:paraId="55C4E9D2" w14:textId="132A408B" w:rsidR="00C62464" w:rsidRPr="00D475CB" w:rsidRDefault="00C83318" w:rsidP="00C83318">
            <w:pPr>
              <w:pStyle w:val="TableParagraph"/>
              <w:ind w:left="0"/>
            </w:pPr>
            <w:r w:rsidRPr="00440E7C">
              <w:rPr>
                <w:rFonts w:eastAsia="Times New Roman"/>
                <w:color w:val="0000FF"/>
              </w:rPr>
              <w:t>Specifically, NTSV cesarean section rate is preferred over total or primary cesarean rates as it more narrowly focuses on the population at greatest risk (nulliparous women in labor) with the greatest long-term consequences.</w:t>
            </w:r>
          </w:p>
        </w:tc>
      </w:tr>
      <w:tr w:rsidR="00C62464" w14:paraId="3D006817" w14:textId="77777777" w:rsidTr="00567E2E">
        <w:trPr>
          <w:trHeight w:val="1340"/>
        </w:trPr>
        <w:tc>
          <w:tcPr>
            <w:tcW w:w="4068" w:type="dxa"/>
          </w:tcPr>
          <w:p w14:paraId="1D873832" w14:textId="77777777" w:rsidR="00C62464" w:rsidRDefault="00C62464" w:rsidP="00567E2E">
            <w:pPr>
              <w:pStyle w:val="TableParagraph"/>
              <w:ind w:right="205"/>
            </w:pPr>
            <w:r>
              <w:t>Quote the guideline or recommendation verbatim about the process, structure or intermediate outcome being measured. If not a guideline, summarize the</w:t>
            </w:r>
          </w:p>
          <w:p w14:paraId="6783A151" w14:textId="77777777" w:rsidR="00C62464" w:rsidRDefault="00C62464" w:rsidP="00567E2E">
            <w:pPr>
              <w:pStyle w:val="TableParagraph"/>
              <w:spacing w:before="1" w:line="249" w:lineRule="exact"/>
              <w:ind w:left="103"/>
            </w:pPr>
            <w:r>
              <w:t>conclusions from the SR.</w:t>
            </w:r>
          </w:p>
        </w:tc>
        <w:tc>
          <w:tcPr>
            <w:tcW w:w="5131" w:type="dxa"/>
          </w:tcPr>
          <w:p w14:paraId="331A5DF8" w14:textId="68B78696" w:rsidR="00951C23" w:rsidRPr="00440E7C" w:rsidRDefault="00951C23" w:rsidP="00951C23">
            <w:pPr>
              <w:rPr>
                <w:rFonts w:eastAsia="Times New Roman"/>
                <w:color w:val="0000FF"/>
              </w:rPr>
            </w:pPr>
            <w:r w:rsidRPr="00440E7C">
              <w:rPr>
                <w:rFonts w:eastAsia="Times New Roman"/>
                <w:color w:val="0000FF"/>
              </w:rPr>
              <w:t>The American College of Obstetricians and Gynecologists (ACOG) in their monograph on evaluating Cesarean delivery rates, recommended this measure for benchmarking cesarean section rates on page 35:</w:t>
            </w:r>
          </w:p>
          <w:p w14:paraId="3FD08162" w14:textId="6A41665E" w:rsidR="00C62464" w:rsidRPr="00440E7C" w:rsidRDefault="00951C23" w:rsidP="00951C23">
            <w:r w:rsidRPr="00440E7C">
              <w:rPr>
                <w:rFonts w:eastAsia="Times New Roman"/>
                <w:color w:val="0000FF"/>
              </w:rPr>
              <w:t>“Institutions and practitioners should consider reviewing their cesarean delivery rates with these benchmarks for 1) nulliparous women with term singleton fetuses with vertex presentations and, 2) multiparous women with one previous low-transverse cesarean delivery and term singleton fetuses with vertex presentations.” II-3</w:t>
            </w:r>
            <w:r w:rsidRPr="00440E7C">
              <w:rPr>
                <w:bCs/>
              </w:rPr>
              <w:t xml:space="preserve"> </w:t>
            </w:r>
          </w:p>
        </w:tc>
      </w:tr>
      <w:tr w:rsidR="00C62464" w14:paraId="05FF490C" w14:textId="77777777" w:rsidTr="00567E2E">
        <w:trPr>
          <w:trHeight w:val="800"/>
        </w:trPr>
        <w:tc>
          <w:tcPr>
            <w:tcW w:w="4068" w:type="dxa"/>
          </w:tcPr>
          <w:p w14:paraId="53A60BE0" w14:textId="77777777" w:rsidR="00C62464" w:rsidRPr="00D475CB" w:rsidRDefault="00C62464" w:rsidP="00567E2E">
            <w:pPr>
              <w:pStyle w:val="TableParagraph"/>
              <w:ind w:left="103" w:right="120"/>
            </w:pPr>
            <w:r w:rsidRPr="00D475CB">
              <w:t xml:space="preserve">Grade assigned to the </w:t>
            </w:r>
            <w:r w:rsidRPr="00D475CB">
              <w:rPr>
                <w:b/>
              </w:rPr>
              <w:t xml:space="preserve">evidence </w:t>
            </w:r>
            <w:r w:rsidRPr="00D475CB">
              <w:t>associated with the recommendation with the</w:t>
            </w:r>
          </w:p>
          <w:p w14:paraId="24228231" w14:textId="77777777" w:rsidR="00C62464" w:rsidRPr="00D475CB" w:rsidRDefault="00C62464" w:rsidP="00567E2E">
            <w:pPr>
              <w:pStyle w:val="TableParagraph"/>
              <w:spacing w:before="1" w:line="249" w:lineRule="exact"/>
              <w:ind w:left="103"/>
            </w:pPr>
            <w:r w:rsidRPr="00D475CB">
              <w:t>definition of the grade</w:t>
            </w:r>
          </w:p>
        </w:tc>
        <w:tc>
          <w:tcPr>
            <w:tcW w:w="5131" w:type="dxa"/>
          </w:tcPr>
          <w:p w14:paraId="3F6E4FFC" w14:textId="68649C6E" w:rsidR="00C62464" w:rsidRPr="00440E7C" w:rsidRDefault="00882F61" w:rsidP="00882F61">
            <w:pPr>
              <w:rPr>
                <w:b/>
                <w:color w:val="555555"/>
              </w:rPr>
            </w:pPr>
            <w:r w:rsidRPr="00440E7C">
              <w:rPr>
                <w:rFonts w:eastAsia="Times New Roman"/>
                <w:color w:val="0000FF"/>
              </w:rPr>
              <w:t>Although grading of the evidence was not determined during our systematic review, it was determined that the guideline developers accounted for a balanced representation of information and provided information that was accessible and met the requirements set out in this measure maintenance form.</w:t>
            </w:r>
          </w:p>
        </w:tc>
      </w:tr>
      <w:tr w:rsidR="00C62464" w14:paraId="3B6A525C" w14:textId="77777777" w:rsidTr="00567E2E">
        <w:trPr>
          <w:trHeight w:val="520"/>
        </w:trPr>
        <w:tc>
          <w:tcPr>
            <w:tcW w:w="4068" w:type="dxa"/>
          </w:tcPr>
          <w:p w14:paraId="2DA20450" w14:textId="77777777" w:rsidR="00C62464" w:rsidRPr="00D475CB" w:rsidRDefault="00C62464" w:rsidP="00567E2E">
            <w:pPr>
              <w:pStyle w:val="TableParagraph"/>
              <w:spacing w:line="268" w:lineRule="exact"/>
            </w:pPr>
            <w:r w:rsidRPr="00D475CB">
              <w:t>Provide all other grades and definitions</w:t>
            </w:r>
          </w:p>
          <w:p w14:paraId="3B8C3852" w14:textId="77777777" w:rsidR="00C62464" w:rsidRPr="00D475CB" w:rsidRDefault="00C62464" w:rsidP="00567E2E">
            <w:pPr>
              <w:pStyle w:val="TableParagraph"/>
              <w:spacing w:line="249" w:lineRule="exact"/>
            </w:pPr>
            <w:r w:rsidRPr="00D475CB">
              <w:t>from the evidence grading system</w:t>
            </w:r>
          </w:p>
        </w:tc>
        <w:tc>
          <w:tcPr>
            <w:tcW w:w="5131" w:type="dxa"/>
          </w:tcPr>
          <w:p w14:paraId="0D5971AB" w14:textId="77777777" w:rsidR="00C62464" w:rsidRPr="00D475CB" w:rsidRDefault="00C62464" w:rsidP="00567E2E">
            <w:pPr>
              <w:pStyle w:val="TableParagraph"/>
              <w:ind w:left="0"/>
            </w:pPr>
          </w:p>
        </w:tc>
      </w:tr>
      <w:tr w:rsidR="00C62464" w14:paraId="2D1B39C9" w14:textId="77777777" w:rsidTr="00567E2E">
        <w:trPr>
          <w:trHeight w:val="520"/>
        </w:trPr>
        <w:tc>
          <w:tcPr>
            <w:tcW w:w="4068" w:type="dxa"/>
          </w:tcPr>
          <w:p w14:paraId="78E677D3" w14:textId="77777777" w:rsidR="00C62464" w:rsidRPr="00D475CB" w:rsidRDefault="00C62464" w:rsidP="00567E2E">
            <w:pPr>
              <w:pStyle w:val="TableParagraph"/>
              <w:spacing w:line="268" w:lineRule="exact"/>
              <w:rPr>
                <w:b/>
              </w:rPr>
            </w:pPr>
            <w:r w:rsidRPr="00D475CB">
              <w:t xml:space="preserve">Grade assigned to the </w:t>
            </w:r>
            <w:r w:rsidRPr="00D475CB">
              <w:rPr>
                <w:b/>
              </w:rPr>
              <w:t>recommendation</w:t>
            </w:r>
          </w:p>
          <w:p w14:paraId="3C8FC2C7" w14:textId="77777777" w:rsidR="00C62464" w:rsidRPr="00D475CB" w:rsidRDefault="00C62464" w:rsidP="00567E2E">
            <w:pPr>
              <w:pStyle w:val="TableParagraph"/>
              <w:spacing w:line="249" w:lineRule="exact"/>
            </w:pPr>
            <w:r w:rsidRPr="00D475CB">
              <w:t>with definition of the grade</w:t>
            </w:r>
          </w:p>
        </w:tc>
        <w:tc>
          <w:tcPr>
            <w:tcW w:w="5131" w:type="dxa"/>
          </w:tcPr>
          <w:p w14:paraId="72302023" w14:textId="64B930F8" w:rsidR="00C62464" w:rsidRPr="00440E7C" w:rsidRDefault="007927FE" w:rsidP="00567E2E">
            <w:pPr>
              <w:pStyle w:val="TableParagraph"/>
              <w:ind w:left="0"/>
              <w:rPr>
                <w:rFonts w:eastAsia="Times New Roman"/>
                <w:color w:val="0000FF"/>
              </w:rPr>
            </w:pPr>
            <w:r w:rsidRPr="00440E7C">
              <w:rPr>
                <w:rFonts w:eastAsia="Times New Roman"/>
                <w:color w:val="0000FF"/>
              </w:rPr>
              <w:t>Yes, grading was assigned to the recommendations.</w:t>
            </w:r>
          </w:p>
          <w:p w14:paraId="679FA358" w14:textId="77777777" w:rsidR="0072274D" w:rsidRPr="00440E7C" w:rsidRDefault="0072274D" w:rsidP="0072274D">
            <w:pPr>
              <w:rPr>
                <w:rFonts w:eastAsia="Times New Roman"/>
                <w:color w:val="0000FF"/>
              </w:rPr>
            </w:pPr>
            <w:r w:rsidRPr="00440E7C">
              <w:rPr>
                <w:rFonts w:eastAsia="Times New Roman"/>
                <w:color w:val="0000FF"/>
              </w:rPr>
              <w:t>The American College of Obstetrics and Gynecology</w:t>
            </w:r>
          </w:p>
          <w:p w14:paraId="31268078" w14:textId="690DED01" w:rsidR="00C62464" w:rsidRPr="00440E7C" w:rsidRDefault="0072274D" w:rsidP="00567E2E">
            <w:pPr>
              <w:pStyle w:val="TableParagraph"/>
              <w:ind w:left="0"/>
              <w:rPr>
                <w:rFonts w:eastAsia="Times New Roman"/>
                <w:color w:val="0000FF"/>
              </w:rPr>
            </w:pPr>
            <w:r w:rsidRPr="00440E7C">
              <w:rPr>
                <w:rFonts w:eastAsia="Times New Roman"/>
                <w:color w:val="0000FF"/>
              </w:rPr>
              <w:t>Level II</w:t>
            </w:r>
          </w:p>
        </w:tc>
      </w:tr>
      <w:tr w:rsidR="00C62464" w14:paraId="17732071" w14:textId="77777777" w:rsidTr="00567E2E">
        <w:trPr>
          <w:trHeight w:val="520"/>
        </w:trPr>
        <w:tc>
          <w:tcPr>
            <w:tcW w:w="4068" w:type="dxa"/>
          </w:tcPr>
          <w:p w14:paraId="0884A4B9" w14:textId="77777777" w:rsidR="00C62464" w:rsidRPr="00D475CB" w:rsidRDefault="00C62464" w:rsidP="00567E2E">
            <w:pPr>
              <w:pStyle w:val="TableParagraph"/>
              <w:spacing w:line="268" w:lineRule="exact"/>
            </w:pPr>
            <w:r w:rsidRPr="00D475CB">
              <w:t>Provide all other grades and definitions</w:t>
            </w:r>
          </w:p>
          <w:p w14:paraId="63AFF25F" w14:textId="77777777" w:rsidR="00C62464" w:rsidRPr="00D475CB" w:rsidRDefault="00C62464" w:rsidP="00567E2E">
            <w:pPr>
              <w:pStyle w:val="TableParagraph"/>
              <w:spacing w:line="249" w:lineRule="exact"/>
            </w:pPr>
            <w:r w:rsidRPr="00D475CB">
              <w:t>from the recommendation grading system</w:t>
            </w:r>
          </w:p>
        </w:tc>
        <w:tc>
          <w:tcPr>
            <w:tcW w:w="5131" w:type="dxa"/>
          </w:tcPr>
          <w:p w14:paraId="6FF203F2" w14:textId="0D442150" w:rsidR="00C62464" w:rsidRPr="00440E7C" w:rsidRDefault="00A14D3E" w:rsidP="00567E2E">
            <w:pPr>
              <w:pStyle w:val="TableParagraph"/>
              <w:ind w:left="0"/>
              <w:rPr>
                <w:rFonts w:eastAsia="Times New Roman"/>
                <w:color w:val="0000FF"/>
              </w:rPr>
            </w:pPr>
            <w:r w:rsidRPr="00440E7C">
              <w:rPr>
                <w:rFonts w:eastAsia="Times New Roman"/>
                <w:color w:val="0000FF"/>
              </w:rPr>
              <w:t>USPSTF</w:t>
            </w:r>
          </w:p>
          <w:p w14:paraId="328E4829" w14:textId="7791C4EE" w:rsidR="00C62464" w:rsidRPr="00440E7C" w:rsidRDefault="00C62464" w:rsidP="00567E2E">
            <w:pPr>
              <w:pStyle w:val="TableParagraph"/>
              <w:ind w:left="0"/>
              <w:rPr>
                <w:rFonts w:eastAsia="Times New Roman"/>
                <w:color w:val="0000FF"/>
              </w:rPr>
            </w:pPr>
          </w:p>
        </w:tc>
      </w:tr>
      <w:tr w:rsidR="00C62464" w14:paraId="2138C93E" w14:textId="77777777" w:rsidTr="00567E2E">
        <w:trPr>
          <w:trHeight w:val="1100"/>
        </w:trPr>
        <w:tc>
          <w:tcPr>
            <w:tcW w:w="4068" w:type="dxa"/>
          </w:tcPr>
          <w:p w14:paraId="36B056D5" w14:textId="77777777" w:rsidR="00C62464" w:rsidRPr="00D475CB" w:rsidRDefault="00C62464" w:rsidP="00567E2E">
            <w:pPr>
              <w:pStyle w:val="TableParagraph"/>
              <w:spacing w:line="268" w:lineRule="exact"/>
            </w:pPr>
            <w:r w:rsidRPr="00D475CB">
              <w:lastRenderedPageBreak/>
              <w:t>Body of evidence:</w:t>
            </w:r>
          </w:p>
          <w:p w14:paraId="260003AB" w14:textId="77777777" w:rsidR="00C62464" w:rsidRPr="00D475CB" w:rsidRDefault="00C62464" w:rsidP="00567E2E">
            <w:pPr>
              <w:pStyle w:val="TableParagraph"/>
              <w:numPr>
                <w:ilvl w:val="0"/>
                <w:numId w:val="1"/>
              </w:numPr>
              <w:tabs>
                <w:tab w:val="left" w:pos="822"/>
                <w:tab w:val="left" w:pos="824"/>
              </w:tabs>
            </w:pPr>
            <w:r w:rsidRPr="00D475CB">
              <w:t>Quantity – how many</w:t>
            </w:r>
            <w:r w:rsidRPr="00D475CB">
              <w:rPr>
                <w:spacing w:val="-7"/>
              </w:rPr>
              <w:t xml:space="preserve"> </w:t>
            </w:r>
            <w:r w:rsidRPr="00D475CB">
              <w:t>studies?</w:t>
            </w:r>
          </w:p>
          <w:p w14:paraId="69998C3D" w14:textId="77777777" w:rsidR="00C62464" w:rsidRPr="00D475CB" w:rsidRDefault="00C62464" w:rsidP="00567E2E">
            <w:pPr>
              <w:pStyle w:val="TableParagraph"/>
              <w:numPr>
                <w:ilvl w:val="0"/>
                <w:numId w:val="1"/>
              </w:numPr>
              <w:tabs>
                <w:tab w:val="left" w:pos="822"/>
                <w:tab w:val="left" w:pos="824"/>
              </w:tabs>
              <w:spacing w:before="41"/>
            </w:pPr>
            <w:r w:rsidRPr="00D475CB">
              <w:t>Quality – what type of</w:t>
            </w:r>
            <w:r w:rsidRPr="00D475CB">
              <w:rPr>
                <w:spacing w:val="-8"/>
              </w:rPr>
              <w:t xml:space="preserve"> </w:t>
            </w:r>
            <w:r w:rsidRPr="00D475CB">
              <w:t>studies?</w:t>
            </w:r>
          </w:p>
        </w:tc>
        <w:tc>
          <w:tcPr>
            <w:tcW w:w="5131" w:type="dxa"/>
          </w:tcPr>
          <w:p w14:paraId="1CCD174A" w14:textId="77777777" w:rsidR="0030107F" w:rsidRPr="00440E7C" w:rsidRDefault="0030107F" w:rsidP="0030107F">
            <w:pPr>
              <w:rPr>
                <w:rFonts w:eastAsia="Times New Roman"/>
                <w:color w:val="0000FF"/>
              </w:rPr>
            </w:pPr>
            <w:r w:rsidRPr="00440E7C">
              <w:rPr>
                <w:rFonts w:eastAsia="Times New Roman"/>
                <w:color w:val="0000FF"/>
              </w:rPr>
              <w:t>The central topic for the measure is the reduction in the number of nulliparous patients with live term singleton newborns in vertex position delivering by cesarean section. The target population for the performance measure is consistent with the body of evidence supporting quality improvement strategies to reduce the number of NTSV cesarean sections.</w:t>
            </w:r>
          </w:p>
          <w:p w14:paraId="42A5E730" w14:textId="6335F49B" w:rsidR="00C62464" w:rsidRPr="00440E7C" w:rsidRDefault="00E81F90" w:rsidP="00567E2E">
            <w:pPr>
              <w:pStyle w:val="TableParagraph"/>
              <w:ind w:left="0"/>
              <w:rPr>
                <w:rFonts w:eastAsia="Times New Roman"/>
                <w:b/>
                <w:bCs/>
                <w:color w:val="0000FF"/>
              </w:rPr>
            </w:pPr>
            <w:r w:rsidRPr="00440E7C">
              <w:rPr>
                <w:rFonts w:eastAsia="Times New Roman"/>
                <w:b/>
                <w:bCs/>
                <w:color w:val="0000FF"/>
              </w:rPr>
              <w:t>Quantity:</w:t>
            </w:r>
          </w:p>
          <w:p w14:paraId="1983B185" w14:textId="77777777" w:rsidR="00E81F90" w:rsidRPr="00440E7C" w:rsidRDefault="00E81F90" w:rsidP="00E81F90">
            <w:pPr>
              <w:rPr>
                <w:rFonts w:eastAsia="Times New Roman"/>
                <w:color w:val="0000FF"/>
              </w:rPr>
            </w:pPr>
            <w:r w:rsidRPr="00440E7C">
              <w:rPr>
                <w:rFonts w:eastAsia="Times New Roman"/>
                <w:color w:val="0000FF"/>
              </w:rPr>
              <w:t>The body of literature looking at cesarean section rates is very large with over 5,000 articles published since 1980.  Over 1,000 articles have focused on the quality issues around nulliparous (sometimes called primiparous) cesarean section rates.  Specifically, the low-risk first-birth cesarean rate has been examined by over 250 retrospective cohort and prospective observational studies.  Synonyms in the literature include: NTSV (nulliparous, term, singleton, vertex) cesarean rate, Standard primip cesarean rate, and the Robson 10-category cesarean classification system (of which NTSV is the key driver).  Throughout these studies, NTSV cesarean has emerged as the group with highest variation and greatest contribution to the rise in cesarean rates both in the US and internationally.</w:t>
            </w:r>
          </w:p>
          <w:p w14:paraId="27F5BDEB" w14:textId="40C9EFD0" w:rsidR="00E81F90" w:rsidRPr="00440E7C" w:rsidRDefault="007141E2" w:rsidP="00567E2E">
            <w:pPr>
              <w:pStyle w:val="TableParagraph"/>
              <w:ind w:left="0"/>
              <w:rPr>
                <w:rFonts w:eastAsia="Times New Roman"/>
                <w:b/>
                <w:bCs/>
                <w:color w:val="0000FF"/>
              </w:rPr>
            </w:pPr>
            <w:r w:rsidRPr="00440E7C">
              <w:rPr>
                <w:rFonts w:eastAsia="Times New Roman"/>
                <w:b/>
                <w:bCs/>
                <w:color w:val="0000FF"/>
              </w:rPr>
              <w:t>Quality:</w:t>
            </w:r>
          </w:p>
          <w:p w14:paraId="126783A2" w14:textId="59AF5431" w:rsidR="00C62464" w:rsidRPr="00440E7C" w:rsidRDefault="007141E2" w:rsidP="007141E2">
            <w:pPr>
              <w:rPr>
                <w:rFonts w:eastAsia="Times New Roman"/>
                <w:color w:val="0000FF"/>
              </w:rPr>
            </w:pPr>
            <w:r w:rsidRPr="00440E7C">
              <w:rPr>
                <w:rFonts w:eastAsia="Times New Roman"/>
                <w:color w:val="0000FF"/>
              </w:rPr>
              <w:t>The quality of evidence supporting the reduction in the number of NTSV cesarean sections is quite high. The rate of severe obstetric hemorrhage has significantly increased (by 50%) over the last 15 years in the U.S.  There has also been a 270% increase in blood transfusions, with both hemorrhage and transfusions correlated to the rise in cesarean deliveries. Infection is the most common serious complication of cesarean delivery with typical rates of 3 to 9%. As noted, ACOG has evaluated cesarean sections and made a recommendation to adopt the NTSV cesarean section rate as a national metric to address through quality improvement interventions. Studies of quality improvement initiatives aimed at reducing NTSV cesarean sections have also noted a decrease in the number of such deliveries as well as a subsequent decrease in the number of maternal and neonatal morbidities.</w:t>
            </w:r>
          </w:p>
          <w:p w14:paraId="0CCC4288" w14:textId="77777777" w:rsidR="00FF4950" w:rsidRPr="00440E7C" w:rsidRDefault="00FF4950" w:rsidP="00FF4950">
            <w:pPr>
              <w:rPr>
                <w:rFonts w:eastAsia="Times New Roman"/>
                <w:color w:val="0000FF"/>
              </w:rPr>
            </w:pPr>
            <w:r w:rsidRPr="00440E7C">
              <w:rPr>
                <w:rFonts w:eastAsia="Times New Roman"/>
                <w:color w:val="0000FF"/>
              </w:rPr>
              <w:t>There is no documented evidence regarding controversy related to the reduction of NTSV cesarean sections.  A review of recent studies also supports the use of quality improvement interventions to further reduce the number of such deliveries.</w:t>
            </w:r>
          </w:p>
          <w:p w14:paraId="2831A15D" w14:textId="4D6F0A05" w:rsidR="00C62464" w:rsidRPr="00440E7C" w:rsidRDefault="00FF4950" w:rsidP="00567E2E">
            <w:pPr>
              <w:pStyle w:val="TableParagraph"/>
              <w:ind w:left="0"/>
              <w:rPr>
                <w:rFonts w:eastAsia="Times New Roman"/>
                <w:color w:val="0000FF"/>
              </w:rPr>
            </w:pPr>
            <w:r w:rsidRPr="00440E7C">
              <w:rPr>
                <w:rFonts w:eastAsia="Times New Roman"/>
                <w:b/>
                <w:bCs/>
                <w:color w:val="0000FF"/>
              </w:rPr>
              <w:t xml:space="preserve">Quantity: </w:t>
            </w:r>
            <w:r w:rsidRPr="00440E7C">
              <w:rPr>
                <w:rFonts w:eastAsia="Times New Roman"/>
                <w:color w:val="0000FF"/>
              </w:rPr>
              <w:t>High</w:t>
            </w:r>
          </w:p>
          <w:p w14:paraId="338B3AC5" w14:textId="0A4A6F39" w:rsidR="00FF4950" w:rsidRPr="00440E7C" w:rsidRDefault="00FF4950" w:rsidP="00567E2E">
            <w:pPr>
              <w:pStyle w:val="TableParagraph"/>
              <w:ind w:left="0"/>
              <w:rPr>
                <w:rFonts w:eastAsia="Times New Roman"/>
                <w:color w:val="0000FF"/>
              </w:rPr>
            </w:pPr>
            <w:r w:rsidRPr="00440E7C">
              <w:rPr>
                <w:rFonts w:eastAsia="Times New Roman"/>
                <w:b/>
                <w:bCs/>
                <w:color w:val="0000FF"/>
              </w:rPr>
              <w:t>Quality:</w:t>
            </w:r>
            <w:r w:rsidRPr="00440E7C">
              <w:rPr>
                <w:rFonts w:eastAsia="Times New Roman"/>
                <w:color w:val="0000FF"/>
              </w:rPr>
              <w:t xml:space="preserve"> High</w:t>
            </w:r>
          </w:p>
          <w:p w14:paraId="52B5BDA2" w14:textId="49D0D0EE" w:rsidR="00C62464" w:rsidRPr="00440E7C" w:rsidRDefault="00FF4950" w:rsidP="00567E2E">
            <w:pPr>
              <w:pStyle w:val="TableParagraph"/>
              <w:ind w:left="0"/>
              <w:rPr>
                <w:rFonts w:eastAsia="Times New Roman"/>
                <w:color w:val="0000FF"/>
              </w:rPr>
            </w:pPr>
            <w:r w:rsidRPr="00440E7C">
              <w:rPr>
                <w:rFonts w:eastAsia="Times New Roman"/>
                <w:b/>
                <w:bCs/>
                <w:color w:val="0000FF"/>
              </w:rPr>
              <w:t>Consistency:</w:t>
            </w:r>
            <w:r w:rsidRPr="00440E7C">
              <w:rPr>
                <w:rFonts w:eastAsia="Times New Roman"/>
                <w:color w:val="0000FF"/>
              </w:rPr>
              <w:t xml:space="preserve"> High</w:t>
            </w:r>
          </w:p>
        </w:tc>
      </w:tr>
      <w:tr w:rsidR="00C62464" w14:paraId="27F5186E" w14:textId="77777777" w:rsidTr="00567E2E">
        <w:trPr>
          <w:trHeight w:val="520"/>
        </w:trPr>
        <w:tc>
          <w:tcPr>
            <w:tcW w:w="4068" w:type="dxa"/>
          </w:tcPr>
          <w:p w14:paraId="1A8D1DC0" w14:textId="77777777" w:rsidR="00C62464" w:rsidRDefault="00C62464" w:rsidP="00567E2E">
            <w:pPr>
              <w:pStyle w:val="TableParagraph"/>
              <w:spacing w:line="268" w:lineRule="exact"/>
            </w:pPr>
            <w:r>
              <w:lastRenderedPageBreak/>
              <w:t>Estimates of benefit and consistency</w:t>
            </w:r>
          </w:p>
          <w:p w14:paraId="32BB1A81" w14:textId="77777777" w:rsidR="00C62464" w:rsidRDefault="00C62464" w:rsidP="00567E2E">
            <w:pPr>
              <w:pStyle w:val="TableParagraph"/>
              <w:spacing w:line="249" w:lineRule="exact"/>
            </w:pPr>
            <w:r>
              <w:t>across studies</w:t>
            </w:r>
          </w:p>
        </w:tc>
        <w:tc>
          <w:tcPr>
            <w:tcW w:w="5131" w:type="dxa"/>
          </w:tcPr>
          <w:p w14:paraId="335BACD5" w14:textId="6890D1AE" w:rsidR="00EF23D9" w:rsidRPr="00440E7C" w:rsidRDefault="00EF23D9" w:rsidP="00EF23D9">
            <w:pPr>
              <w:rPr>
                <w:rFonts w:eastAsia="Times New Roman"/>
                <w:color w:val="0000FF"/>
              </w:rPr>
            </w:pPr>
            <w:r w:rsidRPr="00440E7C">
              <w:rPr>
                <w:rFonts w:eastAsia="Times New Roman"/>
                <w:color w:val="0000FF"/>
              </w:rPr>
              <w:t>The body of evidence consistently supports the reduction of NTSV cesarean deliveries. Studies looking at multi-faceted quality improvement interventions also show a decrease in the number of NTSV cesarean sections.  NTSV cesarean delivery rates show much more consistency than total or primary cesarean delivery rates as it is much more tightly focused on labor management issues.</w:t>
            </w:r>
          </w:p>
          <w:p w14:paraId="17B222FE" w14:textId="7EEC3FAB" w:rsidR="00C62464" w:rsidRPr="00440E7C" w:rsidRDefault="00DE52A7" w:rsidP="00DE52A7">
            <w:pPr>
              <w:rPr>
                <w:rFonts w:eastAsia="Times New Roman"/>
                <w:color w:val="0000FF"/>
              </w:rPr>
            </w:pPr>
            <w:r w:rsidRPr="00440E7C">
              <w:rPr>
                <w:rFonts w:eastAsia="Times New Roman"/>
                <w:color w:val="0000FF"/>
              </w:rPr>
              <w:t>As described before, nulliparous patients with live term singleton newborns in vertex position delivering vaginally result in improved maternal and neonatal outcomes and will result in substantial savings in health care costs.  Furthermore, the benefit is extended to all future pregnancies—if the first birth is a cesarean, then 90% of the remainder will be cesareans with health risks markedly increasing for each additional cesarean.</w:t>
            </w:r>
          </w:p>
        </w:tc>
      </w:tr>
      <w:tr w:rsidR="00C62464" w14:paraId="384A91F5" w14:textId="77777777" w:rsidTr="00567E2E">
        <w:trPr>
          <w:trHeight w:val="260"/>
        </w:trPr>
        <w:tc>
          <w:tcPr>
            <w:tcW w:w="4068" w:type="dxa"/>
          </w:tcPr>
          <w:p w14:paraId="00B7099C" w14:textId="77777777" w:rsidR="00C62464" w:rsidRDefault="00C62464" w:rsidP="00567E2E">
            <w:pPr>
              <w:pStyle w:val="TableParagraph"/>
              <w:spacing w:line="248" w:lineRule="exact"/>
            </w:pPr>
            <w:r>
              <w:t>What harms were identified?</w:t>
            </w:r>
          </w:p>
        </w:tc>
        <w:tc>
          <w:tcPr>
            <w:tcW w:w="5131" w:type="dxa"/>
          </w:tcPr>
          <w:p w14:paraId="08F84A64" w14:textId="77777777" w:rsidR="00C62464" w:rsidRDefault="00C62464" w:rsidP="00567E2E">
            <w:pPr>
              <w:pStyle w:val="TableParagraph"/>
              <w:ind w:left="0"/>
              <w:rPr>
                <w:rFonts w:ascii="Times New Roman"/>
                <w:sz w:val="18"/>
              </w:rPr>
            </w:pPr>
          </w:p>
        </w:tc>
      </w:tr>
      <w:tr w:rsidR="00C62464" w14:paraId="16FFCACC" w14:textId="77777777" w:rsidTr="00567E2E">
        <w:trPr>
          <w:trHeight w:val="800"/>
        </w:trPr>
        <w:tc>
          <w:tcPr>
            <w:tcW w:w="4068" w:type="dxa"/>
          </w:tcPr>
          <w:p w14:paraId="1FCE28C1" w14:textId="77777777" w:rsidR="00C62464" w:rsidRDefault="00C62464" w:rsidP="00567E2E">
            <w:pPr>
              <w:pStyle w:val="TableParagraph"/>
              <w:spacing w:line="268" w:lineRule="exact"/>
            </w:pPr>
            <w:r>
              <w:t>Identify any new studies conducted since</w:t>
            </w:r>
          </w:p>
          <w:p w14:paraId="42FE2D82" w14:textId="77777777" w:rsidR="00C62464" w:rsidRDefault="00C62464" w:rsidP="00567E2E">
            <w:pPr>
              <w:pStyle w:val="TableParagraph"/>
              <w:spacing w:line="270" w:lineRule="atLeast"/>
              <w:ind w:right="502"/>
            </w:pPr>
            <w:r>
              <w:t>the SR. Do the new studies change the conclusions from the SR?</w:t>
            </w:r>
          </w:p>
        </w:tc>
        <w:tc>
          <w:tcPr>
            <w:tcW w:w="5131" w:type="dxa"/>
          </w:tcPr>
          <w:p w14:paraId="2C24B350" w14:textId="77777777" w:rsidR="00C62464" w:rsidRDefault="00C62464" w:rsidP="00567E2E">
            <w:pPr>
              <w:pStyle w:val="TableParagraph"/>
              <w:ind w:left="0"/>
              <w:rPr>
                <w:rFonts w:ascii="Times New Roman"/>
              </w:rPr>
            </w:pPr>
          </w:p>
        </w:tc>
      </w:tr>
    </w:tbl>
    <w:p w14:paraId="1EA87D33" w14:textId="77777777" w:rsidR="00C62464" w:rsidRDefault="00C62464">
      <w:pPr>
        <w:spacing w:before="39"/>
        <w:ind w:left="119"/>
        <w:rPr>
          <w:b/>
        </w:rPr>
      </w:pPr>
    </w:p>
    <w:p w14:paraId="3A99900B" w14:textId="36597C0E" w:rsidR="00C4496D" w:rsidRDefault="00895B79" w:rsidP="0001743A">
      <w:pPr>
        <w:spacing w:before="39"/>
        <w:rPr>
          <w:b/>
        </w:rPr>
      </w:pPr>
      <w:r>
        <w:rPr>
          <w:b/>
        </w:rPr>
        <w:t>1a.4 OTHER SOURCE OF EVIDENCE</w:t>
      </w:r>
    </w:p>
    <w:p w14:paraId="33566B8C" w14:textId="5CECCBD8" w:rsidR="00FE06A2" w:rsidRDefault="00895B79">
      <w:pPr>
        <w:ind w:left="119" w:right="706"/>
        <w:rPr>
          <w:i/>
        </w:rPr>
      </w:pPr>
      <w:r>
        <w:rPr>
          <w:i/>
        </w:rPr>
        <w:t>If source of evidence is NOT from a clinical practice guideline, USPSTF, or systematic review, please describe the evidence on which you are basing the performance measure.</w:t>
      </w:r>
    </w:p>
    <w:p w14:paraId="1A48F141" w14:textId="77777777" w:rsidR="00FE06A2" w:rsidRDefault="00FE06A2" w:rsidP="00FE06A2">
      <w:pPr>
        <w:ind w:left="119" w:right="722"/>
        <w:rPr>
          <w:b/>
        </w:rPr>
      </w:pPr>
    </w:p>
    <w:p w14:paraId="6B7631CB" w14:textId="30612804" w:rsidR="00FE06A2" w:rsidRDefault="00FE06A2" w:rsidP="006623E2">
      <w:pPr>
        <w:ind w:left="119" w:right="722"/>
      </w:pPr>
      <w:r>
        <w:rPr>
          <w:b/>
        </w:rPr>
        <w:t xml:space="preserve">1a.4.1 Briefly SYNTHESIZE the evidence that supports the measure. </w:t>
      </w:r>
      <w:r>
        <w:t>A list of references without a summary is not acceptable.</w:t>
      </w:r>
    </w:p>
    <w:p w14:paraId="345C4899" w14:textId="4B8647FE" w:rsidR="00F1233C" w:rsidRPr="00FF54BC" w:rsidRDefault="006623E2" w:rsidP="006623E2">
      <w:pPr>
        <w:ind w:left="119"/>
        <w:rPr>
          <w:iCs/>
          <w:color w:val="FF0000"/>
        </w:rPr>
      </w:pPr>
      <w:r>
        <w:rPr>
          <w:color w:val="FF0000"/>
        </w:rPr>
        <w:t>Not applicable</w:t>
      </w:r>
    </w:p>
    <w:p w14:paraId="4E821CE0" w14:textId="5D2EBE58" w:rsidR="00F1233C" w:rsidRDefault="00F1233C">
      <w:pPr>
        <w:ind w:left="119" w:right="706"/>
        <w:rPr>
          <w:i/>
        </w:rPr>
      </w:pPr>
    </w:p>
    <w:p w14:paraId="484AF914" w14:textId="5E26B430" w:rsidR="004D1CCA" w:rsidRPr="006623E2" w:rsidRDefault="00895B79" w:rsidP="006623E2">
      <w:pPr>
        <w:pStyle w:val="Heading1"/>
        <w:ind w:right="4387"/>
        <w:rPr>
          <w:b w:val="0"/>
          <w:bCs w:val="0"/>
        </w:rPr>
      </w:pPr>
      <w:r>
        <w:t xml:space="preserve">1a.4.2 What process was used to identify the evidence? </w:t>
      </w:r>
      <w:r w:rsidR="006623E2" w:rsidRPr="006623E2">
        <w:rPr>
          <w:b w:val="0"/>
          <w:bCs w:val="0"/>
          <w:color w:val="FF0000"/>
        </w:rPr>
        <w:t>Not applicable</w:t>
      </w:r>
      <w:r w:rsidR="004D1CCA" w:rsidRPr="006623E2">
        <w:rPr>
          <w:b w:val="0"/>
          <w:bCs w:val="0"/>
          <w:color w:val="FF0000"/>
        </w:rPr>
        <w:tab/>
      </w:r>
    </w:p>
    <w:p w14:paraId="2740405E" w14:textId="66F21157" w:rsidR="00E56B28" w:rsidRPr="006623E2" w:rsidRDefault="00E56B28" w:rsidP="004D1CCA">
      <w:pPr>
        <w:ind w:left="119"/>
        <w:rPr>
          <w:color w:val="FF0000"/>
        </w:rPr>
      </w:pPr>
    </w:p>
    <w:p w14:paraId="150AC168" w14:textId="3918F0CA" w:rsidR="00C4496D" w:rsidRDefault="00895B79" w:rsidP="006623E2">
      <w:pPr>
        <w:pStyle w:val="Heading1"/>
        <w:ind w:right="4387"/>
      </w:pPr>
      <w:r w:rsidRPr="00004B0D">
        <w:t>1a.4.3. Provide the citation(s) for the evidence.</w:t>
      </w:r>
    </w:p>
    <w:p w14:paraId="0CDA5272" w14:textId="20F7BEE7" w:rsidR="006623E2" w:rsidRPr="006623E2" w:rsidRDefault="006623E2" w:rsidP="006623E2">
      <w:pPr>
        <w:pStyle w:val="Heading1"/>
        <w:ind w:right="4387"/>
        <w:rPr>
          <w:b w:val="0"/>
          <w:bCs w:val="0"/>
          <w:color w:val="FF0000"/>
        </w:rPr>
      </w:pPr>
      <w:r w:rsidRPr="006623E2">
        <w:rPr>
          <w:b w:val="0"/>
          <w:bCs w:val="0"/>
          <w:color w:val="FF0000"/>
        </w:rPr>
        <w:t>Not applicable</w:t>
      </w:r>
    </w:p>
    <w:p w14:paraId="5B637690" w14:textId="77777777" w:rsidR="006623E2" w:rsidRPr="006623E2" w:rsidRDefault="006623E2" w:rsidP="006623E2">
      <w:pPr>
        <w:pStyle w:val="Heading1"/>
        <w:ind w:right="4387"/>
        <w:rPr>
          <w:b w:val="0"/>
          <w:bCs w:val="0"/>
        </w:rPr>
      </w:pPr>
    </w:p>
    <w:p w14:paraId="5CA339CD" w14:textId="5CA2EFD3" w:rsidR="000F002F" w:rsidRPr="00772500" w:rsidRDefault="000F002F" w:rsidP="000F002F">
      <w:pPr>
        <w:widowControl/>
        <w:autoSpaceDE/>
        <w:autoSpaceDN/>
        <w:ind w:left="119"/>
        <w:rPr>
          <w:rFonts w:eastAsia="Times New Roman"/>
          <w:b/>
          <w:szCs w:val="21"/>
        </w:rPr>
      </w:pPr>
      <w:r w:rsidRPr="00772500">
        <w:rPr>
          <w:rFonts w:eastAsia="Times New Roman"/>
          <w:b/>
          <w:szCs w:val="21"/>
        </w:rPr>
        <w:t>2020 submission: Citations from Evidence Other Than Guidelines</w:t>
      </w:r>
    </w:p>
    <w:p w14:paraId="71D755FB" w14:textId="77777777" w:rsidR="00D03CCA" w:rsidRPr="00296E64" w:rsidRDefault="00F25002" w:rsidP="00F25002">
      <w:pPr>
        <w:pStyle w:val="ListParagraph"/>
        <w:widowControl/>
        <w:numPr>
          <w:ilvl w:val="0"/>
          <w:numId w:val="13"/>
        </w:numPr>
        <w:autoSpaceDE/>
        <w:autoSpaceDN/>
        <w:rPr>
          <w:rFonts w:eastAsia="Times New Roman"/>
          <w:bCs/>
          <w:color w:val="FF0000"/>
          <w:szCs w:val="21"/>
        </w:rPr>
      </w:pPr>
      <w:r w:rsidRPr="00F25002">
        <w:rPr>
          <w:rFonts w:eastAsia="Times New Roman"/>
          <w:bCs/>
          <w:color w:val="FF0000"/>
          <w:szCs w:val="21"/>
        </w:rPr>
        <w:t xml:space="preserve">Caughey, A.B., Cahill, A.G., Guise, JM., Rouse, D.J. (2019). Safe prevention of the primary cesarean delivery. </w:t>
      </w:r>
      <w:r w:rsidRPr="00F25002">
        <w:rPr>
          <w:rFonts w:eastAsia="Times New Roman"/>
          <w:bCs/>
          <w:i/>
          <w:iCs/>
          <w:color w:val="FF0000"/>
          <w:szCs w:val="21"/>
        </w:rPr>
        <w:t>American College of Obstetricians and Gynecologists,</w:t>
      </w:r>
      <w:r w:rsidRPr="00F25002">
        <w:rPr>
          <w:rFonts w:eastAsia="Times New Roman"/>
          <w:bCs/>
          <w:color w:val="FF0000"/>
          <w:szCs w:val="21"/>
        </w:rPr>
        <w:t xml:space="preserve"> 123: 693-711.  </w:t>
      </w:r>
      <w:r>
        <w:rPr>
          <w:rFonts w:eastAsia="Times New Roman"/>
          <w:bCs/>
          <w:color w:val="FF0000"/>
          <w:szCs w:val="21"/>
        </w:rPr>
        <w:t xml:space="preserve">Retrieved from </w:t>
      </w:r>
      <w:r w:rsidR="00296E64" w:rsidRPr="00B76BD2">
        <w:rPr>
          <w:color w:val="FF0000"/>
          <w:u w:val="single"/>
        </w:rPr>
        <w:t>https://www.acog.org/Clinical-Guidance-and-Publications/Obstetric-Care-Consensus-Series/Safe-Prevention-of-the-Primary-Cesarean-Delivery</w:t>
      </w:r>
      <w:r>
        <w:rPr>
          <w:color w:val="FF0000"/>
          <w:u w:val="single"/>
        </w:rPr>
        <w:t>.</w:t>
      </w:r>
    </w:p>
    <w:p w14:paraId="51D1F043" w14:textId="25DCD1FD" w:rsidR="00EE582E" w:rsidRPr="00D844CD" w:rsidRDefault="00296E64" w:rsidP="00F25002">
      <w:pPr>
        <w:pStyle w:val="ListParagraph"/>
        <w:widowControl/>
        <w:numPr>
          <w:ilvl w:val="0"/>
          <w:numId w:val="13"/>
        </w:numPr>
        <w:autoSpaceDE/>
        <w:autoSpaceDN/>
        <w:rPr>
          <w:rFonts w:eastAsia="Times New Roman"/>
          <w:bCs/>
          <w:color w:val="FF0000"/>
          <w:szCs w:val="21"/>
        </w:rPr>
      </w:pPr>
      <w:r w:rsidRPr="00D844CD">
        <w:rPr>
          <w:color w:val="FF0000"/>
        </w:rPr>
        <w:t xml:space="preserve">Main, E.K, </w:t>
      </w:r>
      <w:r w:rsidR="0010228F" w:rsidRPr="00D844CD">
        <w:rPr>
          <w:color w:val="FF0000"/>
        </w:rPr>
        <w:t>Shen-Chih,</w:t>
      </w:r>
      <w:r w:rsidR="00604B9D" w:rsidRPr="00D844CD">
        <w:rPr>
          <w:color w:val="FF0000"/>
        </w:rPr>
        <w:t xml:space="preserve"> </w:t>
      </w:r>
      <w:r w:rsidR="00D77F5B" w:rsidRPr="00D844CD">
        <w:rPr>
          <w:color w:val="FF0000"/>
        </w:rPr>
        <w:t xml:space="preserve">C., Cape, V., Sakowski, C., Smith, H., Vasher, J. (2019). </w:t>
      </w:r>
      <w:r w:rsidR="00604B9D" w:rsidRPr="00D844CD">
        <w:rPr>
          <w:color w:val="FF0000"/>
        </w:rPr>
        <w:t xml:space="preserve">Safety assessment scale of a large-scale improvement collaborative to reduce nulliparous cesarean delivery rates. </w:t>
      </w:r>
      <w:r w:rsidR="00B03B17" w:rsidRPr="00D844CD">
        <w:rPr>
          <w:i/>
          <w:iCs/>
          <w:color w:val="FF0000"/>
        </w:rPr>
        <w:t>American</w:t>
      </w:r>
      <w:r w:rsidR="00BE2B14" w:rsidRPr="00D844CD">
        <w:rPr>
          <w:i/>
          <w:iCs/>
          <w:color w:val="FF0000"/>
        </w:rPr>
        <w:t xml:space="preserve"> College of Obstetricians and Gynecologists, </w:t>
      </w:r>
      <w:r w:rsidR="00BE2B14" w:rsidRPr="00D844CD">
        <w:rPr>
          <w:color w:val="FF0000"/>
        </w:rPr>
        <w:t>133 (4)</w:t>
      </w:r>
      <w:r w:rsidR="002F172A" w:rsidRPr="00D844CD">
        <w:rPr>
          <w:color w:val="FF0000"/>
        </w:rPr>
        <w:t>: 613-</w:t>
      </w:r>
      <w:r w:rsidR="00B03B17" w:rsidRPr="00D844CD">
        <w:rPr>
          <w:color w:val="FF0000"/>
        </w:rPr>
        <w:t xml:space="preserve">623. </w:t>
      </w:r>
    </w:p>
    <w:p w14:paraId="35B9897F" w14:textId="77777777" w:rsidR="000F002F" w:rsidRPr="00D03CCA" w:rsidRDefault="000F002F" w:rsidP="00D03CCA">
      <w:pPr>
        <w:pStyle w:val="ListParagraph"/>
        <w:widowControl/>
        <w:autoSpaceDE/>
        <w:autoSpaceDN/>
        <w:ind w:left="839" w:firstLine="0"/>
        <w:rPr>
          <w:rFonts w:eastAsia="Times New Roman"/>
          <w:bCs/>
          <w:szCs w:val="21"/>
        </w:rPr>
      </w:pPr>
    </w:p>
    <w:p w14:paraId="6434E788" w14:textId="77777777" w:rsidR="000F002F" w:rsidRDefault="000F002F" w:rsidP="007B58C5">
      <w:pPr>
        <w:widowControl/>
        <w:autoSpaceDE/>
        <w:autoSpaceDN/>
        <w:ind w:left="119"/>
        <w:rPr>
          <w:rFonts w:eastAsia="Times New Roman"/>
          <w:b/>
          <w:szCs w:val="21"/>
        </w:rPr>
      </w:pPr>
    </w:p>
    <w:p w14:paraId="2EAAA444" w14:textId="555620CB" w:rsidR="00004B0D" w:rsidRPr="006018CE" w:rsidRDefault="00004B0D" w:rsidP="007B58C5">
      <w:pPr>
        <w:widowControl/>
        <w:autoSpaceDE/>
        <w:autoSpaceDN/>
        <w:ind w:left="119"/>
        <w:rPr>
          <w:rFonts w:eastAsia="Times New Roman"/>
          <w:b/>
          <w:szCs w:val="21"/>
        </w:rPr>
      </w:pPr>
      <w:r w:rsidRPr="006018CE">
        <w:rPr>
          <w:rFonts w:eastAsia="Times New Roman"/>
          <w:b/>
          <w:szCs w:val="21"/>
        </w:rPr>
        <w:t xml:space="preserve">From previous submission: </w:t>
      </w:r>
      <w:r>
        <w:rPr>
          <w:rFonts w:eastAsia="Times New Roman"/>
          <w:b/>
          <w:szCs w:val="21"/>
        </w:rPr>
        <w:t>C</w:t>
      </w:r>
      <w:r w:rsidRPr="006018CE">
        <w:rPr>
          <w:rFonts w:eastAsia="Times New Roman"/>
          <w:b/>
          <w:szCs w:val="21"/>
        </w:rPr>
        <w:t xml:space="preserve">itations from </w:t>
      </w:r>
      <w:r>
        <w:rPr>
          <w:rFonts w:eastAsia="Times New Roman"/>
          <w:b/>
          <w:szCs w:val="21"/>
        </w:rPr>
        <w:t>E</w:t>
      </w:r>
      <w:r w:rsidRPr="006018CE">
        <w:rPr>
          <w:rFonts w:eastAsia="Times New Roman"/>
          <w:b/>
          <w:szCs w:val="21"/>
        </w:rPr>
        <w:t xml:space="preserve">vidence </w:t>
      </w:r>
      <w:r>
        <w:rPr>
          <w:rFonts w:eastAsia="Times New Roman"/>
          <w:b/>
          <w:szCs w:val="21"/>
        </w:rPr>
        <w:t>O</w:t>
      </w:r>
      <w:r w:rsidRPr="006018CE">
        <w:rPr>
          <w:rFonts w:eastAsia="Times New Roman"/>
          <w:b/>
          <w:szCs w:val="21"/>
        </w:rPr>
        <w:t xml:space="preserve">ther </w:t>
      </w:r>
      <w:r>
        <w:rPr>
          <w:rFonts w:eastAsia="Times New Roman"/>
          <w:b/>
          <w:szCs w:val="21"/>
        </w:rPr>
        <w:t>T</w:t>
      </w:r>
      <w:r w:rsidRPr="006018CE">
        <w:rPr>
          <w:rFonts w:eastAsia="Times New Roman"/>
          <w:b/>
          <w:szCs w:val="21"/>
        </w:rPr>
        <w:t xml:space="preserve">han </w:t>
      </w:r>
      <w:r>
        <w:rPr>
          <w:rFonts w:eastAsia="Times New Roman"/>
          <w:b/>
          <w:szCs w:val="21"/>
        </w:rPr>
        <w:t>G</w:t>
      </w:r>
      <w:r w:rsidRPr="006018CE">
        <w:rPr>
          <w:rFonts w:eastAsia="Times New Roman"/>
          <w:b/>
          <w:szCs w:val="21"/>
        </w:rPr>
        <w:t>uidelines</w:t>
      </w:r>
    </w:p>
    <w:p w14:paraId="6FCB7208" w14:textId="77777777" w:rsidR="00004B0D" w:rsidRDefault="00004B0D" w:rsidP="007B58C5">
      <w:pPr>
        <w:ind w:left="119"/>
        <w:rPr>
          <w:color w:val="0000FF"/>
        </w:rPr>
      </w:pPr>
    </w:p>
    <w:p w14:paraId="1063B180" w14:textId="2F306CD2" w:rsidR="00577A14" w:rsidRPr="00CC341F" w:rsidRDefault="00577A14" w:rsidP="007B58C5">
      <w:pPr>
        <w:ind w:left="119"/>
        <w:rPr>
          <w:color w:val="555555"/>
        </w:rPr>
      </w:pPr>
      <w:r w:rsidRPr="00CC341F">
        <w:rPr>
          <w:color w:val="0000FF"/>
        </w:rPr>
        <w:t>• Barber EL, Lundsberg LS, Belanger K, Pettker CM, Funai EF, Illuzzi JL. (2011). Indications contributing to the increasing cesarean delivery rate. Am J Obstet Gynecol. 118(1):29-38.</w:t>
      </w:r>
    </w:p>
    <w:p w14:paraId="5B9D320C" w14:textId="5D1FCC79" w:rsidR="00577A14" w:rsidRPr="00CC341F" w:rsidRDefault="00577A14" w:rsidP="007B58C5">
      <w:pPr>
        <w:ind w:left="119"/>
        <w:rPr>
          <w:color w:val="0000FF"/>
        </w:rPr>
      </w:pPr>
      <w:r w:rsidRPr="00CC341F">
        <w:rPr>
          <w:color w:val="0000FF"/>
        </w:rPr>
        <w:lastRenderedPageBreak/>
        <w:t>• Brennan, DJ, Robson, MS, Murphy, M, O´Herlihy, C. (2009). Comparative analysis of international cesarean delivery rates using 10-group classification identifies significant variation in spontaneous labor. American Journal of Obstetrics and Gynecology. 201(3):308 e301-308.</w:t>
      </w:r>
    </w:p>
    <w:p w14:paraId="3895D931" w14:textId="5EA5AC37" w:rsidR="00577A14" w:rsidRPr="00CC341F" w:rsidRDefault="00577A14" w:rsidP="007B58C5">
      <w:pPr>
        <w:ind w:left="119"/>
        <w:rPr>
          <w:color w:val="0000FF"/>
        </w:rPr>
      </w:pPr>
      <w:r w:rsidRPr="00CC341F">
        <w:rPr>
          <w:color w:val="0000FF"/>
        </w:rPr>
        <w:t>• Coonrod, DV, Drachman, D, Hobson, P, Manriquez, M. (2008). Nulliparous term singleton vertex cesarean delivery rates: institutional and individual level predictors. American Journal of Obstetrics and Gynecology. 198(6):694 e691-611; discussion 694 e611.</w:t>
      </w:r>
    </w:p>
    <w:p w14:paraId="67B9F6AE" w14:textId="073B91DF" w:rsidR="00577A14" w:rsidRPr="00CC341F" w:rsidRDefault="00577A14" w:rsidP="007B58C5">
      <w:pPr>
        <w:ind w:left="119"/>
        <w:rPr>
          <w:color w:val="0000FF"/>
        </w:rPr>
      </w:pPr>
      <w:r w:rsidRPr="00CC341F">
        <w:rPr>
          <w:color w:val="0000FF"/>
        </w:rPr>
        <w:t>• Ehrenthal, DB, Jiang, X, &amp; Strobino, DM. (2010). Labor induction and the risk of a cesarean delivery among nulliparous women at term. Am J Obstet Gynecol . 116(1):35-42.</w:t>
      </w:r>
    </w:p>
    <w:p w14:paraId="64394ECB" w14:textId="28A7FD49" w:rsidR="00577A14" w:rsidRPr="00CC341F" w:rsidRDefault="00577A14" w:rsidP="007B58C5">
      <w:pPr>
        <w:ind w:left="119"/>
        <w:rPr>
          <w:color w:val="0000FF"/>
        </w:rPr>
      </w:pPr>
      <w:r w:rsidRPr="00CC341F">
        <w:rPr>
          <w:color w:val="0000FF"/>
        </w:rPr>
        <w:t>• Getahun D, Strickland D, Lawrence JM, Fassett MJ, Koebnick C, Jacobsen SJ. (2009). Racial and ethnic disparities in the trends in primary cesarean delivery based on indications. Am J Obstet Gynecol. 201(4):422 e421-427.</w:t>
      </w:r>
    </w:p>
    <w:p w14:paraId="0590BCEF" w14:textId="2B3F3213" w:rsidR="00577A14" w:rsidRPr="00CC341F" w:rsidRDefault="00577A14" w:rsidP="007B58C5">
      <w:pPr>
        <w:ind w:left="119"/>
        <w:rPr>
          <w:color w:val="0000FF"/>
        </w:rPr>
      </w:pPr>
      <w:r w:rsidRPr="00CC341F">
        <w:rPr>
          <w:color w:val="0000FF"/>
        </w:rPr>
        <w:t>• Main, EK, Moore, D, Farrell, B, et al. (2006). Is there a useful cesarean birth measure? Assessment of the nulliparous term singleton vertex cesarean birth rate as a tool for obstetric quality improvement. American Journal of Obstetrics and Gynecology. 194(6):1644-1651; discussion 1651-1642.</w:t>
      </w:r>
    </w:p>
    <w:p w14:paraId="1CACC19E" w14:textId="2DE8612C" w:rsidR="00577A14" w:rsidRPr="00CC341F" w:rsidRDefault="00577A14" w:rsidP="007B58C5">
      <w:pPr>
        <w:ind w:left="119"/>
        <w:rPr>
          <w:color w:val="0000FF"/>
        </w:rPr>
      </w:pPr>
      <w:r w:rsidRPr="00CC341F">
        <w:rPr>
          <w:color w:val="0000FF"/>
        </w:rPr>
        <w:t>• Main, EK. (1999). Reducing cesarean birth rates with data-driven quality improvement activities. Pediatrics.103(1 Suppl E):374-383.</w:t>
      </w:r>
    </w:p>
    <w:p w14:paraId="2CBB054D" w14:textId="4FF9650B" w:rsidR="00CC341F" w:rsidRDefault="00577A14" w:rsidP="007B58C5">
      <w:pPr>
        <w:ind w:left="119"/>
        <w:rPr>
          <w:color w:val="0000FF"/>
        </w:rPr>
      </w:pPr>
      <w:r w:rsidRPr="00CC341F">
        <w:rPr>
          <w:color w:val="0000FF"/>
        </w:rPr>
        <w:t xml:space="preserve">• US Department of Health and Human Services (DHHS). (2000). Healthy People 2010. Washington, DC. Retrieved on </w:t>
      </w:r>
      <w:r w:rsidR="00C25C56" w:rsidRPr="00CC341F">
        <w:rPr>
          <w:color w:val="0000FF"/>
        </w:rPr>
        <w:t>September</w:t>
      </w:r>
      <w:r w:rsidRPr="00CC341F">
        <w:rPr>
          <w:color w:val="0000FF"/>
        </w:rPr>
        <w:t xml:space="preserve"> 26, 2011 at: </w:t>
      </w:r>
      <w:hyperlink r:id="rId20" w:history="1">
        <w:r w:rsidRPr="00CC341F">
          <w:rPr>
            <w:rStyle w:val="Hyperlink"/>
          </w:rPr>
          <w:t>http://www.healthypeople.gov/2010</w:t>
        </w:r>
      </w:hyperlink>
    </w:p>
    <w:p w14:paraId="4C15E861" w14:textId="76941918" w:rsidR="00CC341F" w:rsidRDefault="00CC341F" w:rsidP="007B58C5">
      <w:pPr>
        <w:pStyle w:val="ListParagraph"/>
        <w:ind w:left="479" w:firstLine="0"/>
        <w:rPr>
          <w:color w:val="0000FF"/>
        </w:rPr>
      </w:pPr>
    </w:p>
    <w:p w14:paraId="2A93AC93" w14:textId="7E504ACE" w:rsidR="00003FEA" w:rsidRDefault="00003FEA" w:rsidP="00C25C56">
      <w:pPr>
        <w:pStyle w:val="ListParagraph"/>
        <w:ind w:left="360" w:firstLine="0"/>
        <w:rPr>
          <w:color w:val="0000FF"/>
        </w:rPr>
      </w:pPr>
    </w:p>
    <w:p w14:paraId="6952C502" w14:textId="77777777" w:rsidR="00003FEA" w:rsidRPr="00C25C56" w:rsidRDefault="00003FEA" w:rsidP="00003FEA">
      <w:pPr>
        <w:pStyle w:val="ListParagraph"/>
        <w:ind w:left="0" w:firstLine="0"/>
        <w:rPr>
          <w:color w:val="0000FF"/>
        </w:rPr>
      </w:pPr>
    </w:p>
    <w:sectPr w:rsidR="00003FEA" w:rsidRPr="00C25C56">
      <w:pgSz w:w="12240" w:h="15840"/>
      <w:pgMar w:top="1400" w:right="1320" w:bottom="940" w:left="1320" w:header="0"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F720A" w14:textId="77777777" w:rsidR="00395172" w:rsidRDefault="00395172">
      <w:r>
        <w:separator/>
      </w:r>
    </w:p>
  </w:endnote>
  <w:endnote w:type="continuationSeparator" w:id="0">
    <w:p w14:paraId="52CCA27C" w14:textId="77777777" w:rsidR="00395172" w:rsidRDefault="0039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E192" w14:textId="3FD53B08" w:rsidR="00567E2E" w:rsidRDefault="00567E2E">
    <w:pPr>
      <w:pStyle w:val="BodyText"/>
      <w:spacing w:line="14" w:lineRule="auto"/>
    </w:pPr>
    <w:r>
      <w:rPr>
        <w:noProof/>
      </w:rPr>
      <mc:AlternateContent>
        <mc:Choice Requires="wps">
          <w:drawing>
            <wp:anchor distT="0" distB="0" distL="114300" distR="114300" simplePos="0" relativeHeight="503309480" behindDoc="1" locked="0" layoutInCell="1" allowOverlap="1" wp14:anchorId="4709A20D" wp14:editId="77B041B2">
              <wp:simplePos x="0" y="0"/>
              <wp:positionH relativeFrom="page">
                <wp:posOffset>901700</wp:posOffset>
              </wp:positionH>
              <wp:positionV relativeFrom="page">
                <wp:posOffset>9444990</wp:posOffset>
              </wp:positionV>
              <wp:extent cx="1120775" cy="1657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7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DD67C" w14:textId="77777777" w:rsidR="00567E2E" w:rsidRDefault="00567E2E">
                          <w:pPr>
                            <w:spacing w:line="245" w:lineRule="exact"/>
                            <w:ind w:left="20"/>
                          </w:pPr>
                          <w:r>
                            <w:t>Version 7.1 9/6/17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09A20D" id="_x0000_t202" coordsize="21600,21600" o:spt="202" path="m,l,21600r21600,l21600,xe">
              <v:stroke joinstyle="miter"/>
              <v:path gradientshapeok="t" o:connecttype="rect"/>
            </v:shapetype>
            <v:shape id="Text Box 2" o:spid="_x0000_s1032" type="#_x0000_t202" style="position:absolute;margin-left:71pt;margin-top:743.7pt;width:88.25pt;height:13.05pt;z-index:-7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8QNrAIAAKk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Q4w4qSFFj3QQaNbMaDAVKfvVAJO9x246QG2ocuWqeruRPFVIS42NeF7upZS9DUlJWTnm5vuxdUR&#10;RxmQXf9BlBCGHLSwQEMlW1M6KAYCdOjS47kzJpXChPQDbz6PMCrgzJ9F8+vIhiDJdLuTSr+jokXG&#10;SLGEzlt0crxT2mRDksnFBOMiZ01ju9/wZxvgOO5AbLhqzkwWtpk/Yi/eLraL0AmD2dYJvSxz1vkm&#10;dGa5P4+y62yzyfyfJq4fJjUrS8pNmElYfvhnjTtJfJTEWVpKNKw0cCYlJfe7TSPRkYCwc/udCnLh&#10;5j5PwxYBuLyg5AehdxvETj5bzJ0wDyMnnnsLx/Pj23jmhXGY5c8p3TFO/50S6lMcR0E0ium33Dz7&#10;veZGkpZpGB0Na1O8ODuRxEhwy0vbWk1YM9oXpTDpP5UC2j012grWaHRUqx52A6AYFe9E+QjSlQKU&#10;BfqEeQdGLeR3jHqYHSlW3w5EUoya9xzkbwbNZMjJ2E0G4QVcTbHGaDQ3ehxIh06yfQ3I4wPjYg1P&#10;pGJWvU9ZnB4WzANL4jS7zMC5/LdeTxN29QsAAP//AwBQSwMEFAAGAAgAAAAhAL1mPF/iAAAADQEA&#10;AA8AAABkcnMvZG93bnJldi54bWxMj8FOwzAQRO9I/IO1SNyok7YpaRqnqhCckFDTcODoxG5iNV6H&#10;2G3D37M9wW1ndzT7Jt9OtmcXPXrjUEA8i4BpbJwy2Ar4rN6eUmA+SFSyd6gF/GgP2+L+LpeZclcs&#10;9eUQWkYh6DMpoAthyDj3Taet9DM3aKTb0Y1WBpJjy9UorxRuez6PohW30iB96OSgXzrdnA5nK2D3&#10;heWr+f6o9+WxNFW1jvB9dRLi8WHabYAFPYU/M9zwCR0KYqrdGZVnPenlnLqE25A+L4GRZRGnCbCa&#10;Vkm8SIAXOf/fovgFAAD//wMAUEsBAi0AFAAGAAgAAAAhALaDOJL+AAAA4QEAABMAAAAAAAAAAAAA&#10;AAAAAAAAAFtDb250ZW50X1R5cGVzXS54bWxQSwECLQAUAAYACAAAACEAOP0h/9YAAACUAQAACwAA&#10;AAAAAAAAAAAAAAAvAQAAX3JlbHMvLnJlbHNQSwECLQAUAAYACAAAACEAlbvEDawCAACpBQAADgAA&#10;AAAAAAAAAAAAAAAuAgAAZHJzL2Uyb0RvYy54bWxQSwECLQAUAAYACAAAACEAvWY8X+IAAAANAQAA&#10;DwAAAAAAAAAAAAAAAAAGBQAAZHJzL2Rvd25yZXYueG1sUEsFBgAAAAAEAAQA8wAAABUGAAAAAA==&#10;" filled="f" stroked="f">
              <v:textbox inset="0,0,0,0">
                <w:txbxContent>
                  <w:p w14:paraId="3D8DD67C" w14:textId="77777777" w:rsidR="00567E2E" w:rsidRDefault="00567E2E">
                    <w:pPr>
                      <w:spacing w:line="245" w:lineRule="exact"/>
                      <w:ind w:left="20"/>
                    </w:pPr>
                    <w:r>
                      <w:t>Version 7.1 9/6/17</w:t>
                    </w:r>
                  </w:p>
                </w:txbxContent>
              </v:textbox>
              <w10:wrap anchorx="page" anchory="page"/>
            </v:shape>
          </w:pict>
        </mc:Fallback>
      </mc:AlternateContent>
    </w:r>
    <w:r>
      <w:rPr>
        <w:noProof/>
      </w:rPr>
      <mc:AlternateContent>
        <mc:Choice Requires="wps">
          <w:drawing>
            <wp:anchor distT="0" distB="0" distL="114300" distR="114300" simplePos="0" relativeHeight="503309504" behindDoc="1" locked="0" layoutInCell="1" allowOverlap="1" wp14:anchorId="579AB745" wp14:editId="565FF636">
              <wp:simplePos x="0" y="0"/>
              <wp:positionH relativeFrom="page">
                <wp:posOffset>6762115</wp:posOffset>
              </wp:positionH>
              <wp:positionV relativeFrom="page">
                <wp:posOffset>9444990</wp:posOffset>
              </wp:positionV>
              <wp:extent cx="121920" cy="165735"/>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27B0F" w14:textId="77777777" w:rsidR="00567E2E" w:rsidRDefault="00567E2E">
                          <w:pPr>
                            <w:spacing w:line="245" w:lineRule="exact"/>
                            <w:ind w:left="40"/>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AB745" id="Text Box 1" o:spid="_x0000_s1033" type="#_x0000_t202" style="position:absolute;margin-left:532.45pt;margin-top:743.7pt;width:9.6pt;height:13.05pt;z-index:-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ZRrAIAAK8FAAAOAAAAZHJzL2Uyb0RvYy54bWysVNtunDAQfa/Uf7D8TriEvYDCRsmyVJXS&#10;i5T0A7zGLFbBprZ3Ia367x2bZbNJVKlqywMa2+Mzc2aO5+p6aBt0YEpzKTIcXgQYMUFlycUuw18e&#10;Cm+JkTZElKSRgmX4kWl8vXr75qrvUhbJWjYlUwhAhE77LsO1MV3q+5rWrCX6QnZMwGElVUsMLNXO&#10;LxXpAb1t/CgI5n4vVdkpSZnWsJuPh3jl8KuKUfOpqjQzqMkw5GbcX7n/1v791RVJd4p0NafHNMhf&#10;ZNESLiDoCSonhqC94q+gWk6V1LIyF1S2vqwqTpnjAGzC4AWb+5p0zHGB4ujuVCb9/2Dpx8NnhXgJ&#10;vcNIkBZa9MAGg27lgEJbnb7TKTjdd+BmBti2npap7u4k/aqRkOuaiB27UUr2NSMlZOdu+mdXRxxt&#10;Qbb9B1lCGLI30gENlWotIBQDATp06fHUGZsKtSGjMInghMJROJ8tLmc2N5+k0+VOafOOyRZZI8MK&#10;Gu/AyeFOm9F1crGxhCx407jmN+LZBmCOOxAartozm4Tr5Y8kSDbLzTL24mi+8eIgz72bYh178yJc&#10;zPLLfL3Ow582bhinNS9LJmyYSVdh/Gd9Oyp8VMRJWVo2vLRwNiWtdtt1o9CBgK4L9x0LcubmP0/D&#10;1Qu4vKAURnFwGyVeMV8uvLiIZ16yCJZeECa3yTyIkzgvnlO644L9OyXUZziZRbNRS7/lFrjvNTeS&#10;ttzA5Gh4m+HlyYmkVoEbUbrWGsKb0T4rhU3/qRTQ7qnRTq9WoqNYzbAdjg8DwKyWt7J8BAErCQID&#10;LcLUA6OW6jtGPUyQDOtve6IYRs17AY/AjpvJUJOxnQwiKFzNsMFoNNdmHEv7TvFdDcjjMxPyBh5K&#10;xZ2In7IABnYBU8FxOU4wO3bO187rac6ufgEAAP//AwBQSwMEFAAGAAgAAAAhAJwWOnTjAAAADwEA&#10;AA8AAABkcnMvZG93bnJldi54bWxMj8FOwzAQRO9I/IO1SNyoHUhDmsapKgQnJEQaDj06iZtYjdch&#10;dtvw92xPcJvRPs3O5JvZDuysJ28cSogWApjGxrUGOwlf1dtDCswHha0aHGoJP9rDpri9yVXWuguW&#10;+rwLHaMQ9JmS0IcwZpz7ptdW+YUbNdLt4CarAtmp4+2kLhRuB/4oRMKtMkgfejXql143x93JStju&#10;sXw13x/1Z3koTVWtBL4nRynv7+btGljQc/iD4VqfqkNBnWp3wtazgbxI4hWxpOL0OQZ2ZUQaR8Bq&#10;UsvoaQm8yPn/HcUvAAAA//8DAFBLAQItABQABgAIAAAAIQC2gziS/gAAAOEBAAATAAAAAAAAAAAA&#10;AAAAAAAAAABbQ29udGVudF9UeXBlc10ueG1sUEsBAi0AFAAGAAgAAAAhADj9If/WAAAAlAEAAAsA&#10;AAAAAAAAAAAAAAAALwEAAF9yZWxzLy5yZWxzUEsBAi0AFAAGAAgAAAAhAGBI5lGsAgAArwUAAA4A&#10;AAAAAAAAAAAAAAAALgIAAGRycy9lMm9Eb2MueG1sUEsBAi0AFAAGAAgAAAAhAJwWOnTjAAAADwEA&#10;AA8AAAAAAAAAAAAAAAAABgUAAGRycy9kb3ducmV2LnhtbFBLBQYAAAAABAAEAPMAAAAWBgAAAAA=&#10;" filled="f" stroked="f">
              <v:textbox inset="0,0,0,0">
                <w:txbxContent>
                  <w:p w14:paraId="54827B0F" w14:textId="77777777" w:rsidR="00567E2E" w:rsidRDefault="00567E2E">
                    <w:pPr>
                      <w:spacing w:line="245" w:lineRule="exact"/>
                      <w:ind w:left="4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E1CA2" w14:textId="77777777" w:rsidR="00395172" w:rsidRDefault="00395172">
      <w:r>
        <w:separator/>
      </w:r>
    </w:p>
  </w:footnote>
  <w:footnote w:type="continuationSeparator" w:id="0">
    <w:p w14:paraId="1EB5949F" w14:textId="77777777" w:rsidR="00395172" w:rsidRDefault="00395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4C0D"/>
    <w:multiLevelType w:val="hybridMultilevel"/>
    <w:tmpl w:val="89027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C407286"/>
    <w:multiLevelType w:val="hybridMultilevel"/>
    <w:tmpl w:val="9DD80670"/>
    <w:lvl w:ilvl="0" w:tplc="3672185A">
      <w:numFmt w:val="bullet"/>
      <w:lvlText w:val=""/>
      <w:lvlJc w:val="left"/>
      <w:pPr>
        <w:ind w:left="440" w:hanging="217"/>
      </w:pPr>
      <w:rPr>
        <w:rFonts w:ascii="Symbol" w:eastAsia="Symbol" w:hAnsi="Symbol" w:cs="Symbol" w:hint="default"/>
        <w:w w:val="99"/>
        <w:sz w:val="20"/>
        <w:szCs w:val="20"/>
      </w:rPr>
    </w:lvl>
    <w:lvl w:ilvl="1" w:tplc="72C6A6A6">
      <w:numFmt w:val="bullet"/>
      <w:lvlText w:val="•"/>
      <w:lvlJc w:val="left"/>
      <w:pPr>
        <w:ind w:left="1448" w:hanging="217"/>
      </w:pPr>
      <w:rPr>
        <w:rFonts w:hint="default"/>
      </w:rPr>
    </w:lvl>
    <w:lvl w:ilvl="2" w:tplc="DDDA721C">
      <w:numFmt w:val="bullet"/>
      <w:lvlText w:val="•"/>
      <w:lvlJc w:val="left"/>
      <w:pPr>
        <w:ind w:left="2456" w:hanging="217"/>
      </w:pPr>
      <w:rPr>
        <w:rFonts w:hint="default"/>
      </w:rPr>
    </w:lvl>
    <w:lvl w:ilvl="3" w:tplc="3DB0E354">
      <w:numFmt w:val="bullet"/>
      <w:lvlText w:val="•"/>
      <w:lvlJc w:val="left"/>
      <w:pPr>
        <w:ind w:left="3464" w:hanging="217"/>
      </w:pPr>
      <w:rPr>
        <w:rFonts w:hint="default"/>
      </w:rPr>
    </w:lvl>
    <w:lvl w:ilvl="4" w:tplc="BD5A956A">
      <w:numFmt w:val="bullet"/>
      <w:lvlText w:val="•"/>
      <w:lvlJc w:val="left"/>
      <w:pPr>
        <w:ind w:left="4472" w:hanging="217"/>
      </w:pPr>
      <w:rPr>
        <w:rFonts w:hint="default"/>
      </w:rPr>
    </w:lvl>
    <w:lvl w:ilvl="5" w:tplc="8E9A3ED2">
      <w:numFmt w:val="bullet"/>
      <w:lvlText w:val="•"/>
      <w:lvlJc w:val="left"/>
      <w:pPr>
        <w:ind w:left="5480" w:hanging="217"/>
      </w:pPr>
      <w:rPr>
        <w:rFonts w:hint="default"/>
      </w:rPr>
    </w:lvl>
    <w:lvl w:ilvl="6" w:tplc="6E24CBD4">
      <w:numFmt w:val="bullet"/>
      <w:lvlText w:val="•"/>
      <w:lvlJc w:val="left"/>
      <w:pPr>
        <w:ind w:left="6488" w:hanging="217"/>
      </w:pPr>
      <w:rPr>
        <w:rFonts w:hint="default"/>
      </w:rPr>
    </w:lvl>
    <w:lvl w:ilvl="7" w:tplc="FC2CC01E">
      <w:numFmt w:val="bullet"/>
      <w:lvlText w:val="•"/>
      <w:lvlJc w:val="left"/>
      <w:pPr>
        <w:ind w:left="7496" w:hanging="217"/>
      </w:pPr>
      <w:rPr>
        <w:rFonts w:hint="default"/>
      </w:rPr>
    </w:lvl>
    <w:lvl w:ilvl="8" w:tplc="BA340A7A">
      <w:numFmt w:val="bullet"/>
      <w:lvlText w:val="•"/>
      <w:lvlJc w:val="left"/>
      <w:pPr>
        <w:ind w:left="8504" w:hanging="217"/>
      </w:pPr>
      <w:rPr>
        <w:rFonts w:hint="default"/>
      </w:rPr>
    </w:lvl>
  </w:abstractNum>
  <w:abstractNum w:abstractNumId="2" w15:restartNumberingAfterBreak="0">
    <w:nsid w:val="1DC67B13"/>
    <w:multiLevelType w:val="hybridMultilevel"/>
    <w:tmpl w:val="B1245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A2624F"/>
    <w:multiLevelType w:val="hybridMultilevel"/>
    <w:tmpl w:val="55BECA96"/>
    <w:lvl w:ilvl="0" w:tplc="75C819E6">
      <w:numFmt w:val="bullet"/>
      <w:lvlText w:val=""/>
      <w:lvlJc w:val="left"/>
      <w:pPr>
        <w:ind w:left="463" w:hanging="361"/>
      </w:pPr>
      <w:rPr>
        <w:rFonts w:ascii="Symbol" w:eastAsia="Symbol" w:hAnsi="Symbol" w:cs="Symbol" w:hint="default"/>
        <w:w w:val="100"/>
        <w:sz w:val="22"/>
        <w:szCs w:val="22"/>
      </w:rPr>
    </w:lvl>
    <w:lvl w:ilvl="1" w:tplc="FB50C908">
      <w:numFmt w:val="bullet"/>
      <w:lvlText w:val="o"/>
      <w:lvlJc w:val="left"/>
      <w:pPr>
        <w:ind w:left="895" w:hanging="411"/>
      </w:pPr>
      <w:rPr>
        <w:rFonts w:ascii="Courier New" w:eastAsia="Courier New" w:hAnsi="Courier New" w:cs="Courier New" w:hint="default"/>
        <w:w w:val="100"/>
        <w:sz w:val="22"/>
        <w:szCs w:val="22"/>
      </w:rPr>
    </w:lvl>
    <w:lvl w:ilvl="2" w:tplc="B192B3C8">
      <w:numFmt w:val="bullet"/>
      <w:lvlText w:val="•"/>
      <w:lvlJc w:val="left"/>
      <w:pPr>
        <w:ind w:left="1941" w:hanging="411"/>
      </w:pPr>
      <w:rPr>
        <w:rFonts w:hint="default"/>
      </w:rPr>
    </w:lvl>
    <w:lvl w:ilvl="3" w:tplc="A2367492">
      <w:numFmt w:val="bullet"/>
      <w:lvlText w:val="•"/>
      <w:lvlJc w:val="left"/>
      <w:pPr>
        <w:ind w:left="2983" w:hanging="411"/>
      </w:pPr>
      <w:rPr>
        <w:rFonts w:hint="default"/>
      </w:rPr>
    </w:lvl>
    <w:lvl w:ilvl="4" w:tplc="A4026486">
      <w:numFmt w:val="bullet"/>
      <w:lvlText w:val="•"/>
      <w:lvlJc w:val="left"/>
      <w:pPr>
        <w:ind w:left="4025" w:hanging="411"/>
      </w:pPr>
      <w:rPr>
        <w:rFonts w:hint="default"/>
      </w:rPr>
    </w:lvl>
    <w:lvl w:ilvl="5" w:tplc="04CEA91A">
      <w:numFmt w:val="bullet"/>
      <w:lvlText w:val="•"/>
      <w:lvlJc w:val="left"/>
      <w:pPr>
        <w:ind w:left="5067" w:hanging="411"/>
      </w:pPr>
      <w:rPr>
        <w:rFonts w:hint="default"/>
      </w:rPr>
    </w:lvl>
    <w:lvl w:ilvl="6" w:tplc="E95E4DDA">
      <w:numFmt w:val="bullet"/>
      <w:lvlText w:val="•"/>
      <w:lvlJc w:val="left"/>
      <w:pPr>
        <w:ind w:left="6109" w:hanging="411"/>
      </w:pPr>
      <w:rPr>
        <w:rFonts w:hint="default"/>
      </w:rPr>
    </w:lvl>
    <w:lvl w:ilvl="7" w:tplc="2270A6DE">
      <w:numFmt w:val="bullet"/>
      <w:lvlText w:val="•"/>
      <w:lvlJc w:val="left"/>
      <w:pPr>
        <w:ind w:left="7151" w:hanging="411"/>
      </w:pPr>
      <w:rPr>
        <w:rFonts w:hint="default"/>
      </w:rPr>
    </w:lvl>
    <w:lvl w:ilvl="8" w:tplc="037E3430">
      <w:numFmt w:val="bullet"/>
      <w:lvlText w:val="•"/>
      <w:lvlJc w:val="left"/>
      <w:pPr>
        <w:ind w:left="8193" w:hanging="411"/>
      </w:pPr>
      <w:rPr>
        <w:rFonts w:hint="default"/>
      </w:rPr>
    </w:lvl>
  </w:abstractNum>
  <w:abstractNum w:abstractNumId="4" w15:restartNumberingAfterBreak="0">
    <w:nsid w:val="54951E44"/>
    <w:multiLevelType w:val="hybridMultilevel"/>
    <w:tmpl w:val="B7F4B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4F0091"/>
    <w:multiLevelType w:val="hybridMultilevel"/>
    <w:tmpl w:val="BE7638C2"/>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6" w15:restartNumberingAfterBreak="0">
    <w:nsid w:val="5E250E09"/>
    <w:multiLevelType w:val="hybridMultilevel"/>
    <w:tmpl w:val="263A0142"/>
    <w:lvl w:ilvl="0" w:tplc="A2180318">
      <w:start w:val="3"/>
      <w:numFmt w:val="decimal"/>
      <w:lvlText w:val="%1."/>
      <w:lvlJc w:val="left"/>
      <w:pPr>
        <w:ind w:left="224" w:hanging="200"/>
      </w:pPr>
      <w:rPr>
        <w:rFonts w:ascii="Calibri" w:eastAsia="Calibri" w:hAnsi="Calibri" w:cs="Calibri" w:hint="default"/>
        <w:b/>
        <w:bCs/>
        <w:spacing w:val="-1"/>
        <w:w w:val="99"/>
        <w:sz w:val="20"/>
        <w:szCs w:val="20"/>
      </w:rPr>
    </w:lvl>
    <w:lvl w:ilvl="1" w:tplc="2916B53A">
      <w:numFmt w:val="bullet"/>
      <w:lvlText w:val="•"/>
      <w:lvlJc w:val="left"/>
      <w:pPr>
        <w:ind w:left="860" w:hanging="200"/>
      </w:pPr>
      <w:rPr>
        <w:rFonts w:hint="default"/>
      </w:rPr>
    </w:lvl>
    <w:lvl w:ilvl="2" w:tplc="0ACA4E36">
      <w:numFmt w:val="bullet"/>
      <w:lvlText w:val="•"/>
      <w:lvlJc w:val="left"/>
      <w:pPr>
        <w:ind w:left="1933" w:hanging="200"/>
      </w:pPr>
      <w:rPr>
        <w:rFonts w:hint="default"/>
      </w:rPr>
    </w:lvl>
    <w:lvl w:ilvl="3" w:tplc="D102F12E">
      <w:numFmt w:val="bullet"/>
      <w:lvlText w:val="•"/>
      <w:lvlJc w:val="left"/>
      <w:pPr>
        <w:ind w:left="3006" w:hanging="200"/>
      </w:pPr>
      <w:rPr>
        <w:rFonts w:hint="default"/>
      </w:rPr>
    </w:lvl>
    <w:lvl w:ilvl="4" w:tplc="10004684">
      <w:numFmt w:val="bullet"/>
      <w:lvlText w:val="•"/>
      <w:lvlJc w:val="left"/>
      <w:pPr>
        <w:ind w:left="4080" w:hanging="200"/>
      </w:pPr>
      <w:rPr>
        <w:rFonts w:hint="default"/>
      </w:rPr>
    </w:lvl>
    <w:lvl w:ilvl="5" w:tplc="8258DBE8">
      <w:numFmt w:val="bullet"/>
      <w:lvlText w:val="•"/>
      <w:lvlJc w:val="left"/>
      <w:pPr>
        <w:ind w:left="5153" w:hanging="200"/>
      </w:pPr>
      <w:rPr>
        <w:rFonts w:hint="default"/>
      </w:rPr>
    </w:lvl>
    <w:lvl w:ilvl="6" w:tplc="DFD80C28">
      <w:numFmt w:val="bullet"/>
      <w:lvlText w:val="•"/>
      <w:lvlJc w:val="left"/>
      <w:pPr>
        <w:ind w:left="6226" w:hanging="200"/>
      </w:pPr>
      <w:rPr>
        <w:rFonts w:hint="default"/>
      </w:rPr>
    </w:lvl>
    <w:lvl w:ilvl="7" w:tplc="A5BA5BDC">
      <w:numFmt w:val="bullet"/>
      <w:lvlText w:val="•"/>
      <w:lvlJc w:val="left"/>
      <w:pPr>
        <w:ind w:left="7300" w:hanging="200"/>
      </w:pPr>
      <w:rPr>
        <w:rFonts w:hint="default"/>
      </w:rPr>
    </w:lvl>
    <w:lvl w:ilvl="8" w:tplc="8A7059D2">
      <w:numFmt w:val="bullet"/>
      <w:lvlText w:val="•"/>
      <w:lvlJc w:val="left"/>
      <w:pPr>
        <w:ind w:left="8373" w:hanging="200"/>
      </w:pPr>
      <w:rPr>
        <w:rFonts w:hint="default"/>
      </w:rPr>
    </w:lvl>
  </w:abstractNum>
  <w:abstractNum w:abstractNumId="7" w15:restartNumberingAfterBreak="0">
    <w:nsid w:val="6D09421E"/>
    <w:multiLevelType w:val="hybridMultilevel"/>
    <w:tmpl w:val="61EE57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EF21747"/>
    <w:multiLevelType w:val="hybridMultilevel"/>
    <w:tmpl w:val="712C1C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E903E0"/>
    <w:multiLevelType w:val="hybridMultilevel"/>
    <w:tmpl w:val="D5280E64"/>
    <w:lvl w:ilvl="0" w:tplc="5B3EE464">
      <w:numFmt w:val="bullet"/>
      <w:lvlText w:val="□"/>
      <w:lvlJc w:val="left"/>
      <w:pPr>
        <w:ind w:left="850" w:hanging="272"/>
      </w:pPr>
      <w:rPr>
        <w:rFonts w:ascii="MS Gothic" w:eastAsia="MS Gothic" w:hAnsi="MS Gothic" w:cs="MS Gothic" w:hint="default"/>
        <w:color w:val="0000FF"/>
        <w:w w:val="100"/>
        <w:sz w:val="22"/>
        <w:szCs w:val="22"/>
      </w:rPr>
    </w:lvl>
    <w:lvl w:ilvl="1" w:tplc="67080EBC">
      <w:numFmt w:val="bullet"/>
      <w:lvlText w:val="•"/>
      <w:lvlJc w:val="left"/>
      <w:pPr>
        <w:ind w:left="1360" w:hanging="272"/>
      </w:pPr>
      <w:rPr>
        <w:rFonts w:hint="default"/>
      </w:rPr>
    </w:lvl>
    <w:lvl w:ilvl="2" w:tplc="BA5E1D50">
      <w:numFmt w:val="bullet"/>
      <w:lvlText w:val="•"/>
      <w:lvlJc w:val="left"/>
      <w:pPr>
        <w:ind w:left="2377" w:hanging="272"/>
      </w:pPr>
      <w:rPr>
        <w:rFonts w:hint="default"/>
      </w:rPr>
    </w:lvl>
    <w:lvl w:ilvl="3" w:tplc="E3A6EC8E">
      <w:numFmt w:val="bullet"/>
      <w:lvlText w:val="•"/>
      <w:lvlJc w:val="left"/>
      <w:pPr>
        <w:ind w:left="3395" w:hanging="272"/>
      </w:pPr>
      <w:rPr>
        <w:rFonts w:hint="default"/>
      </w:rPr>
    </w:lvl>
    <w:lvl w:ilvl="4" w:tplc="B992B2E2">
      <w:numFmt w:val="bullet"/>
      <w:lvlText w:val="•"/>
      <w:lvlJc w:val="left"/>
      <w:pPr>
        <w:ind w:left="4413" w:hanging="272"/>
      </w:pPr>
      <w:rPr>
        <w:rFonts w:hint="default"/>
      </w:rPr>
    </w:lvl>
    <w:lvl w:ilvl="5" w:tplc="30163DC6">
      <w:numFmt w:val="bullet"/>
      <w:lvlText w:val="•"/>
      <w:lvlJc w:val="left"/>
      <w:pPr>
        <w:ind w:left="5431" w:hanging="272"/>
      </w:pPr>
      <w:rPr>
        <w:rFonts w:hint="default"/>
      </w:rPr>
    </w:lvl>
    <w:lvl w:ilvl="6" w:tplc="67360B00">
      <w:numFmt w:val="bullet"/>
      <w:lvlText w:val="•"/>
      <w:lvlJc w:val="left"/>
      <w:pPr>
        <w:ind w:left="6448" w:hanging="272"/>
      </w:pPr>
      <w:rPr>
        <w:rFonts w:hint="default"/>
      </w:rPr>
    </w:lvl>
    <w:lvl w:ilvl="7" w:tplc="6484BAA8">
      <w:numFmt w:val="bullet"/>
      <w:lvlText w:val="•"/>
      <w:lvlJc w:val="left"/>
      <w:pPr>
        <w:ind w:left="7466" w:hanging="272"/>
      </w:pPr>
      <w:rPr>
        <w:rFonts w:hint="default"/>
      </w:rPr>
    </w:lvl>
    <w:lvl w:ilvl="8" w:tplc="33FA61C8">
      <w:numFmt w:val="bullet"/>
      <w:lvlText w:val="•"/>
      <w:lvlJc w:val="left"/>
      <w:pPr>
        <w:ind w:left="8484" w:hanging="272"/>
      </w:pPr>
      <w:rPr>
        <w:rFonts w:hint="default"/>
      </w:rPr>
    </w:lvl>
  </w:abstractNum>
  <w:abstractNum w:abstractNumId="10" w15:restartNumberingAfterBreak="0">
    <w:nsid w:val="7B6F2474"/>
    <w:multiLevelType w:val="hybridMultilevel"/>
    <w:tmpl w:val="68D4EA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C9D5586"/>
    <w:multiLevelType w:val="hybridMultilevel"/>
    <w:tmpl w:val="A0DCC8A6"/>
    <w:lvl w:ilvl="0" w:tplc="0EDC53CA">
      <w:numFmt w:val="bullet"/>
      <w:lvlText w:val=""/>
      <w:lvlJc w:val="left"/>
      <w:pPr>
        <w:ind w:left="823" w:hanging="361"/>
      </w:pPr>
      <w:rPr>
        <w:rFonts w:ascii="Symbol" w:eastAsia="Symbol" w:hAnsi="Symbol" w:cs="Symbol" w:hint="default"/>
        <w:w w:val="100"/>
        <w:sz w:val="22"/>
        <w:szCs w:val="22"/>
      </w:rPr>
    </w:lvl>
    <w:lvl w:ilvl="1" w:tplc="D8D2A956">
      <w:numFmt w:val="bullet"/>
      <w:lvlText w:val="•"/>
      <w:lvlJc w:val="left"/>
      <w:pPr>
        <w:ind w:left="1143" w:hanging="361"/>
      </w:pPr>
      <w:rPr>
        <w:rFonts w:hint="default"/>
      </w:rPr>
    </w:lvl>
    <w:lvl w:ilvl="2" w:tplc="C110F896">
      <w:numFmt w:val="bullet"/>
      <w:lvlText w:val="•"/>
      <w:lvlJc w:val="left"/>
      <w:pPr>
        <w:ind w:left="1467" w:hanging="361"/>
      </w:pPr>
      <w:rPr>
        <w:rFonts w:hint="default"/>
      </w:rPr>
    </w:lvl>
    <w:lvl w:ilvl="3" w:tplc="232805A0">
      <w:numFmt w:val="bullet"/>
      <w:lvlText w:val="•"/>
      <w:lvlJc w:val="left"/>
      <w:pPr>
        <w:ind w:left="1791" w:hanging="361"/>
      </w:pPr>
      <w:rPr>
        <w:rFonts w:hint="default"/>
      </w:rPr>
    </w:lvl>
    <w:lvl w:ilvl="4" w:tplc="045A45F4">
      <w:numFmt w:val="bullet"/>
      <w:lvlText w:val="•"/>
      <w:lvlJc w:val="left"/>
      <w:pPr>
        <w:ind w:left="2115" w:hanging="361"/>
      </w:pPr>
      <w:rPr>
        <w:rFonts w:hint="default"/>
      </w:rPr>
    </w:lvl>
    <w:lvl w:ilvl="5" w:tplc="F59052A0">
      <w:numFmt w:val="bullet"/>
      <w:lvlText w:val="•"/>
      <w:lvlJc w:val="left"/>
      <w:pPr>
        <w:ind w:left="2439" w:hanging="361"/>
      </w:pPr>
      <w:rPr>
        <w:rFonts w:hint="default"/>
      </w:rPr>
    </w:lvl>
    <w:lvl w:ilvl="6" w:tplc="21EA6DE4">
      <w:numFmt w:val="bullet"/>
      <w:lvlText w:val="•"/>
      <w:lvlJc w:val="left"/>
      <w:pPr>
        <w:ind w:left="2762" w:hanging="361"/>
      </w:pPr>
      <w:rPr>
        <w:rFonts w:hint="default"/>
      </w:rPr>
    </w:lvl>
    <w:lvl w:ilvl="7" w:tplc="4F980B72">
      <w:numFmt w:val="bullet"/>
      <w:lvlText w:val="•"/>
      <w:lvlJc w:val="left"/>
      <w:pPr>
        <w:ind w:left="3086" w:hanging="361"/>
      </w:pPr>
      <w:rPr>
        <w:rFonts w:hint="default"/>
      </w:rPr>
    </w:lvl>
    <w:lvl w:ilvl="8" w:tplc="5F8E4DCC">
      <w:numFmt w:val="bullet"/>
      <w:lvlText w:val="•"/>
      <w:lvlJc w:val="left"/>
      <w:pPr>
        <w:ind w:left="3410" w:hanging="361"/>
      </w:pPr>
      <w:rPr>
        <w:rFonts w:hint="default"/>
      </w:rPr>
    </w:lvl>
  </w:abstractNum>
  <w:abstractNum w:abstractNumId="12" w15:restartNumberingAfterBreak="0">
    <w:nsid w:val="7E3F04F9"/>
    <w:multiLevelType w:val="hybridMultilevel"/>
    <w:tmpl w:val="CF72F0C4"/>
    <w:lvl w:ilvl="0" w:tplc="4D702F04">
      <w:numFmt w:val="bullet"/>
      <w:lvlText w:val=""/>
      <w:lvlJc w:val="left"/>
      <w:pPr>
        <w:ind w:left="822" w:hanging="361"/>
      </w:pPr>
      <w:rPr>
        <w:rFonts w:ascii="Symbol" w:eastAsia="Symbol" w:hAnsi="Symbol" w:cs="Symbol" w:hint="default"/>
        <w:w w:val="100"/>
        <w:sz w:val="22"/>
        <w:szCs w:val="22"/>
      </w:rPr>
    </w:lvl>
    <w:lvl w:ilvl="1" w:tplc="3AF63D7E">
      <w:numFmt w:val="bullet"/>
      <w:lvlText w:val="•"/>
      <w:lvlJc w:val="left"/>
      <w:pPr>
        <w:ind w:left="1143" w:hanging="361"/>
      </w:pPr>
      <w:rPr>
        <w:rFonts w:hint="default"/>
      </w:rPr>
    </w:lvl>
    <w:lvl w:ilvl="2" w:tplc="94109DBC">
      <w:numFmt w:val="bullet"/>
      <w:lvlText w:val="•"/>
      <w:lvlJc w:val="left"/>
      <w:pPr>
        <w:ind w:left="1467" w:hanging="361"/>
      </w:pPr>
      <w:rPr>
        <w:rFonts w:hint="default"/>
      </w:rPr>
    </w:lvl>
    <w:lvl w:ilvl="3" w:tplc="B4328586">
      <w:numFmt w:val="bullet"/>
      <w:lvlText w:val="•"/>
      <w:lvlJc w:val="left"/>
      <w:pPr>
        <w:ind w:left="1791" w:hanging="361"/>
      </w:pPr>
      <w:rPr>
        <w:rFonts w:hint="default"/>
      </w:rPr>
    </w:lvl>
    <w:lvl w:ilvl="4" w:tplc="F844F0F0">
      <w:numFmt w:val="bullet"/>
      <w:lvlText w:val="•"/>
      <w:lvlJc w:val="left"/>
      <w:pPr>
        <w:ind w:left="2115" w:hanging="361"/>
      </w:pPr>
      <w:rPr>
        <w:rFonts w:hint="default"/>
      </w:rPr>
    </w:lvl>
    <w:lvl w:ilvl="5" w:tplc="C3EA69FA">
      <w:numFmt w:val="bullet"/>
      <w:lvlText w:val="•"/>
      <w:lvlJc w:val="left"/>
      <w:pPr>
        <w:ind w:left="2439" w:hanging="361"/>
      </w:pPr>
      <w:rPr>
        <w:rFonts w:hint="default"/>
      </w:rPr>
    </w:lvl>
    <w:lvl w:ilvl="6" w:tplc="F6E4299E">
      <w:numFmt w:val="bullet"/>
      <w:lvlText w:val="•"/>
      <w:lvlJc w:val="left"/>
      <w:pPr>
        <w:ind w:left="2762" w:hanging="361"/>
      </w:pPr>
      <w:rPr>
        <w:rFonts w:hint="default"/>
      </w:rPr>
    </w:lvl>
    <w:lvl w:ilvl="7" w:tplc="D62621BA">
      <w:numFmt w:val="bullet"/>
      <w:lvlText w:val="•"/>
      <w:lvlJc w:val="left"/>
      <w:pPr>
        <w:ind w:left="3086" w:hanging="361"/>
      </w:pPr>
      <w:rPr>
        <w:rFonts w:hint="default"/>
      </w:rPr>
    </w:lvl>
    <w:lvl w:ilvl="8" w:tplc="3A124B5E">
      <w:numFmt w:val="bullet"/>
      <w:lvlText w:val="•"/>
      <w:lvlJc w:val="left"/>
      <w:pPr>
        <w:ind w:left="3410" w:hanging="361"/>
      </w:pPr>
      <w:rPr>
        <w:rFonts w:hint="default"/>
      </w:rPr>
    </w:lvl>
  </w:abstractNum>
  <w:num w:numId="1">
    <w:abstractNumId w:val="11"/>
  </w:num>
  <w:num w:numId="2">
    <w:abstractNumId w:val="12"/>
  </w:num>
  <w:num w:numId="3">
    <w:abstractNumId w:val="9"/>
  </w:num>
  <w:num w:numId="4">
    <w:abstractNumId w:val="6"/>
  </w:num>
  <w:num w:numId="5">
    <w:abstractNumId w:val="1"/>
  </w:num>
  <w:num w:numId="6">
    <w:abstractNumId w:val="3"/>
  </w:num>
  <w:num w:numId="7">
    <w:abstractNumId w:val="4"/>
  </w:num>
  <w:num w:numId="8">
    <w:abstractNumId w:val="2"/>
  </w:num>
  <w:num w:numId="9">
    <w:abstractNumId w:val="8"/>
  </w:num>
  <w:num w:numId="10">
    <w:abstractNumId w:val="0"/>
  </w:num>
  <w:num w:numId="11">
    <w:abstractNumId w:val="10"/>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6D"/>
    <w:rsid w:val="000013A0"/>
    <w:rsid w:val="00003FEA"/>
    <w:rsid w:val="00004B0D"/>
    <w:rsid w:val="000147EF"/>
    <w:rsid w:val="0001743A"/>
    <w:rsid w:val="00030CE6"/>
    <w:rsid w:val="000414E3"/>
    <w:rsid w:val="000546FC"/>
    <w:rsid w:val="000627AA"/>
    <w:rsid w:val="000673BE"/>
    <w:rsid w:val="000718D7"/>
    <w:rsid w:val="000769BA"/>
    <w:rsid w:val="00081395"/>
    <w:rsid w:val="00096321"/>
    <w:rsid w:val="000B0142"/>
    <w:rsid w:val="000B2649"/>
    <w:rsid w:val="000C173C"/>
    <w:rsid w:val="000C554C"/>
    <w:rsid w:val="000C7934"/>
    <w:rsid w:val="000C7A05"/>
    <w:rsid w:val="000D10CF"/>
    <w:rsid w:val="000E4CF5"/>
    <w:rsid w:val="000F002F"/>
    <w:rsid w:val="000F592F"/>
    <w:rsid w:val="0010228F"/>
    <w:rsid w:val="00115100"/>
    <w:rsid w:val="00126C8F"/>
    <w:rsid w:val="00127196"/>
    <w:rsid w:val="00127323"/>
    <w:rsid w:val="00135123"/>
    <w:rsid w:val="00135A93"/>
    <w:rsid w:val="00135DFC"/>
    <w:rsid w:val="00151940"/>
    <w:rsid w:val="001529F4"/>
    <w:rsid w:val="001557FC"/>
    <w:rsid w:val="0016010A"/>
    <w:rsid w:val="001622DE"/>
    <w:rsid w:val="001672B3"/>
    <w:rsid w:val="00177440"/>
    <w:rsid w:val="00195AEA"/>
    <w:rsid w:val="00196B79"/>
    <w:rsid w:val="001C5143"/>
    <w:rsid w:val="001C7224"/>
    <w:rsid w:val="001D48DC"/>
    <w:rsid w:val="001E021A"/>
    <w:rsid w:val="001F164A"/>
    <w:rsid w:val="001F5FD2"/>
    <w:rsid w:val="00202A2A"/>
    <w:rsid w:val="002037A8"/>
    <w:rsid w:val="00207697"/>
    <w:rsid w:val="00210AD8"/>
    <w:rsid w:val="00213C65"/>
    <w:rsid w:val="00224F8A"/>
    <w:rsid w:val="00240FB7"/>
    <w:rsid w:val="002413BB"/>
    <w:rsid w:val="00247892"/>
    <w:rsid w:val="00253D11"/>
    <w:rsid w:val="002567A0"/>
    <w:rsid w:val="0027044F"/>
    <w:rsid w:val="00282929"/>
    <w:rsid w:val="00290099"/>
    <w:rsid w:val="00296E64"/>
    <w:rsid w:val="002A5C75"/>
    <w:rsid w:val="002B14DE"/>
    <w:rsid w:val="002B7479"/>
    <w:rsid w:val="002C32FC"/>
    <w:rsid w:val="002C71A3"/>
    <w:rsid w:val="002D0CD1"/>
    <w:rsid w:val="002E658A"/>
    <w:rsid w:val="002F09B3"/>
    <w:rsid w:val="002F172A"/>
    <w:rsid w:val="00300FCE"/>
    <w:rsid w:val="0030107F"/>
    <w:rsid w:val="00301CD2"/>
    <w:rsid w:val="0031091E"/>
    <w:rsid w:val="00311996"/>
    <w:rsid w:val="0031425B"/>
    <w:rsid w:val="00322525"/>
    <w:rsid w:val="00322596"/>
    <w:rsid w:val="00335475"/>
    <w:rsid w:val="00351F47"/>
    <w:rsid w:val="00363FA4"/>
    <w:rsid w:val="00366194"/>
    <w:rsid w:val="003808CA"/>
    <w:rsid w:val="00392031"/>
    <w:rsid w:val="00392E48"/>
    <w:rsid w:val="00395172"/>
    <w:rsid w:val="003965E3"/>
    <w:rsid w:val="003A18A9"/>
    <w:rsid w:val="003A62EF"/>
    <w:rsid w:val="003C24A2"/>
    <w:rsid w:val="003F249B"/>
    <w:rsid w:val="004032CC"/>
    <w:rsid w:val="004264D7"/>
    <w:rsid w:val="004320F5"/>
    <w:rsid w:val="004342DD"/>
    <w:rsid w:val="0043501E"/>
    <w:rsid w:val="00440E7C"/>
    <w:rsid w:val="00445838"/>
    <w:rsid w:val="004851A1"/>
    <w:rsid w:val="00487336"/>
    <w:rsid w:val="00494F54"/>
    <w:rsid w:val="00495540"/>
    <w:rsid w:val="004B52C9"/>
    <w:rsid w:val="004C0E05"/>
    <w:rsid w:val="004D0BF0"/>
    <w:rsid w:val="004D1CCA"/>
    <w:rsid w:val="004D34F5"/>
    <w:rsid w:val="004E0A05"/>
    <w:rsid w:val="004E2FBD"/>
    <w:rsid w:val="004F6931"/>
    <w:rsid w:val="0050289A"/>
    <w:rsid w:val="00506ACF"/>
    <w:rsid w:val="00521B21"/>
    <w:rsid w:val="00534AF0"/>
    <w:rsid w:val="00543092"/>
    <w:rsid w:val="0055337C"/>
    <w:rsid w:val="005614C5"/>
    <w:rsid w:val="00567E2E"/>
    <w:rsid w:val="0057689B"/>
    <w:rsid w:val="00577A14"/>
    <w:rsid w:val="005843E8"/>
    <w:rsid w:val="005848DD"/>
    <w:rsid w:val="005925BF"/>
    <w:rsid w:val="005940CB"/>
    <w:rsid w:val="005A330F"/>
    <w:rsid w:val="005A38DE"/>
    <w:rsid w:val="005A70FF"/>
    <w:rsid w:val="005B1DBD"/>
    <w:rsid w:val="005B7305"/>
    <w:rsid w:val="005F716E"/>
    <w:rsid w:val="00600E80"/>
    <w:rsid w:val="00601596"/>
    <w:rsid w:val="00602441"/>
    <w:rsid w:val="00604B9D"/>
    <w:rsid w:val="006224BF"/>
    <w:rsid w:val="00624C07"/>
    <w:rsid w:val="00631C0C"/>
    <w:rsid w:val="0063670B"/>
    <w:rsid w:val="00641C3F"/>
    <w:rsid w:val="00642B73"/>
    <w:rsid w:val="00646F44"/>
    <w:rsid w:val="00653E95"/>
    <w:rsid w:val="0066097C"/>
    <w:rsid w:val="006623E2"/>
    <w:rsid w:val="00666A2E"/>
    <w:rsid w:val="00673071"/>
    <w:rsid w:val="00674F2C"/>
    <w:rsid w:val="00676368"/>
    <w:rsid w:val="006778E9"/>
    <w:rsid w:val="00680A21"/>
    <w:rsid w:val="006B5FD9"/>
    <w:rsid w:val="006C747B"/>
    <w:rsid w:val="006D457C"/>
    <w:rsid w:val="006D6A15"/>
    <w:rsid w:val="006E4CEE"/>
    <w:rsid w:val="006E5851"/>
    <w:rsid w:val="006F0CE7"/>
    <w:rsid w:val="006F3491"/>
    <w:rsid w:val="007141E2"/>
    <w:rsid w:val="00716077"/>
    <w:rsid w:val="0072274D"/>
    <w:rsid w:val="00723C7F"/>
    <w:rsid w:val="00725383"/>
    <w:rsid w:val="007308D6"/>
    <w:rsid w:val="007405C1"/>
    <w:rsid w:val="00741066"/>
    <w:rsid w:val="00741FE2"/>
    <w:rsid w:val="00746229"/>
    <w:rsid w:val="00746E7F"/>
    <w:rsid w:val="007569C9"/>
    <w:rsid w:val="0076091C"/>
    <w:rsid w:val="00762373"/>
    <w:rsid w:val="00772500"/>
    <w:rsid w:val="00782642"/>
    <w:rsid w:val="00783278"/>
    <w:rsid w:val="00787D18"/>
    <w:rsid w:val="007927FE"/>
    <w:rsid w:val="00793A87"/>
    <w:rsid w:val="007B548C"/>
    <w:rsid w:val="007B58C5"/>
    <w:rsid w:val="007B5AC2"/>
    <w:rsid w:val="007C7B35"/>
    <w:rsid w:val="007E22B5"/>
    <w:rsid w:val="007F74C2"/>
    <w:rsid w:val="00814FD5"/>
    <w:rsid w:val="00830F2E"/>
    <w:rsid w:val="00831D3C"/>
    <w:rsid w:val="00843447"/>
    <w:rsid w:val="008479BF"/>
    <w:rsid w:val="00850152"/>
    <w:rsid w:val="00857AEB"/>
    <w:rsid w:val="00864C15"/>
    <w:rsid w:val="00875A77"/>
    <w:rsid w:val="00882F61"/>
    <w:rsid w:val="00887291"/>
    <w:rsid w:val="00887A0D"/>
    <w:rsid w:val="00890EE7"/>
    <w:rsid w:val="00895B79"/>
    <w:rsid w:val="008A5BBD"/>
    <w:rsid w:val="008B46F9"/>
    <w:rsid w:val="008B4768"/>
    <w:rsid w:val="008C7E57"/>
    <w:rsid w:val="008D34AF"/>
    <w:rsid w:val="008F4AF7"/>
    <w:rsid w:val="008F4B86"/>
    <w:rsid w:val="008F6C59"/>
    <w:rsid w:val="00900EC2"/>
    <w:rsid w:val="00904F13"/>
    <w:rsid w:val="009200C4"/>
    <w:rsid w:val="00924D24"/>
    <w:rsid w:val="00931437"/>
    <w:rsid w:val="0093306F"/>
    <w:rsid w:val="009335DE"/>
    <w:rsid w:val="009378CD"/>
    <w:rsid w:val="00943954"/>
    <w:rsid w:val="00944296"/>
    <w:rsid w:val="00951C23"/>
    <w:rsid w:val="0095493A"/>
    <w:rsid w:val="0095792D"/>
    <w:rsid w:val="00957EA3"/>
    <w:rsid w:val="0096227C"/>
    <w:rsid w:val="00971B3D"/>
    <w:rsid w:val="00976CEB"/>
    <w:rsid w:val="009838AD"/>
    <w:rsid w:val="00983B38"/>
    <w:rsid w:val="009902FD"/>
    <w:rsid w:val="0099087B"/>
    <w:rsid w:val="009A3971"/>
    <w:rsid w:val="009A5641"/>
    <w:rsid w:val="009C552E"/>
    <w:rsid w:val="009E79C6"/>
    <w:rsid w:val="009F6D7B"/>
    <w:rsid w:val="009F79F3"/>
    <w:rsid w:val="00A00993"/>
    <w:rsid w:val="00A10A7C"/>
    <w:rsid w:val="00A12A81"/>
    <w:rsid w:val="00A14D3E"/>
    <w:rsid w:val="00A23C89"/>
    <w:rsid w:val="00A2694A"/>
    <w:rsid w:val="00A313C5"/>
    <w:rsid w:val="00A32DBD"/>
    <w:rsid w:val="00A42250"/>
    <w:rsid w:val="00A5658D"/>
    <w:rsid w:val="00A61E88"/>
    <w:rsid w:val="00A63065"/>
    <w:rsid w:val="00A656E4"/>
    <w:rsid w:val="00A72320"/>
    <w:rsid w:val="00A87EE6"/>
    <w:rsid w:val="00AA3483"/>
    <w:rsid w:val="00AB769A"/>
    <w:rsid w:val="00AE127E"/>
    <w:rsid w:val="00AE467E"/>
    <w:rsid w:val="00AE6AC3"/>
    <w:rsid w:val="00AF16C9"/>
    <w:rsid w:val="00AF366D"/>
    <w:rsid w:val="00AF5996"/>
    <w:rsid w:val="00B009A8"/>
    <w:rsid w:val="00B03347"/>
    <w:rsid w:val="00B03B17"/>
    <w:rsid w:val="00B05B60"/>
    <w:rsid w:val="00B1042D"/>
    <w:rsid w:val="00B13292"/>
    <w:rsid w:val="00B1455C"/>
    <w:rsid w:val="00B2079B"/>
    <w:rsid w:val="00B22A5C"/>
    <w:rsid w:val="00B27A2E"/>
    <w:rsid w:val="00B325D4"/>
    <w:rsid w:val="00B33CD9"/>
    <w:rsid w:val="00B37CF5"/>
    <w:rsid w:val="00B47153"/>
    <w:rsid w:val="00B73EE6"/>
    <w:rsid w:val="00B75FE5"/>
    <w:rsid w:val="00B76BD2"/>
    <w:rsid w:val="00B8109F"/>
    <w:rsid w:val="00B820FD"/>
    <w:rsid w:val="00B941C1"/>
    <w:rsid w:val="00BA16A8"/>
    <w:rsid w:val="00BA2E45"/>
    <w:rsid w:val="00BB050C"/>
    <w:rsid w:val="00BB2631"/>
    <w:rsid w:val="00BB4D72"/>
    <w:rsid w:val="00BD2352"/>
    <w:rsid w:val="00BD4546"/>
    <w:rsid w:val="00BE2B14"/>
    <w:rsid w:val="00BE7A9F"/>
    <w:rsid w:val="00BF05B4"/>
    <w:rsid w:val="00BF11BB"/>
    <w:rsid w:val="00BF2DC7"/>
    <w:rsid w:val="00C10E3A"/>
    <w:rsid w:val="00C24C52"/>
    <w:rsid w:val="00C2578D"/>
    <w:rsid w:val="00C25C56"/>
    <w:rsid w:val="00C37646"/>
    <w:rsid w:val="00C4496D"/>
    <w:rsid w:val="00C62464"/>
    <w:rsid w:val="00C679FB"/>
    <w:rsid w:val="00C71C18"/>
    <w:rsid w:val="00C774CF"/>
    <w:rsid w:val="00C77C4E"/>
    <w:rsid w:val="00C83318"/>
    <w:rsid w:val="00C97255"/>
    <w:rsid w:val="00CA6D8A"/>
    <w:rsid w:val="00CB12AD"/>
    <w:rsid w:val="00CC11D3"/>
    <w:rsid w:val="00CC341F"/>
    <w:rsid w:val="00CC70FD"/>
    <w:rsid w:val="00CD2E34"/>
    <w:rsid w:val="00CD4E78"/>
    <w:rsid w:val="00D03CCA"/>
    <w:rsid w:val="00D05DC9"/>
    <w:rsid w:val="00D07ACB"/>
    <w:rsid w:val="00D11041"/>
    <w:rsid w:val="00D1317F"/>
    <w:rsid w:val="00D1589E"/>
    <w:rsid w:val="00D37DAD"/>
    <w:rsid w:val="00D462E1"/>
    <w:rsid w:val="00D475CB"/>
    <w:rsid w:val="00D5401E"/>
    <w:rsid w:val="00D77F5B"/>
    <w:rsid w:val="00D81F99"/>
    <w:rsid w:val="00D844CD"/>
    <w:rsid w:val="00D85641"/>
    <w:rsid w:val="00D92235"/>
    <w:rsid w:val="00DA74B4"/>
    <w:rsid w:val="00DB1376"/>
    <w:rsid w:val="00DC25B2"/>
    <w:rsid w:val="00DC3C71"/>
    <w:rsid w:val="00DC7223"/>
    <w:rsid w:val="00DD1EA2"/>
    <w:rsid w:val="00DD643D"/>
    <w:rsid w:val="00DE3B0F"/>
    <w:rsid w:val="00DE52A7"/>
    <w:rsid w:val="00DE5917"/>
    <w:rsid w:val="00DE6E56"/>
    <w:rsid w:val="00DF02E2"/>
    <w:rsid w:val="00E00C06"/>
    <w:rsid w:val="00E05D2A"/>
    <w:rsid w:val="00E12C66"/>
    <w:rsid w:val="00E13034"/>
    <w:rsid w:val="00E1736A"/>
    <w:rsid w:val="00E223CB"/>
    <w:rsid w:val="00E23C66"/>
    <w:rsid w:val="00E262C7"/>
    <w:rsid w:val="00E36AF7"/>
    <w:rsid w:val="00E3731A"/>
    <w:rsid w:val="00E374C9"/>
    <w:rsid w:val="00E417D3"/>
    <w:rsid w:val="00E56B28"/>
    <w:rsid w:val="00E65B93"/>
    <w:rsid w:val="00E81D23"/>
    <w:rsid w:val="00E81F90"/>
    <w:rsid w:val="00E849E7"/>
    <w:rsid w:val="00E9252E"/>
    <w:rsid w:val="00EB1BE2"/>
    <w:rsid w:val="00EB3DC2"/>
    <w:rsid w:val="00EB582A"/>
    <w:rsid w:val="00EB634C"/>
    <w:rsid w:val="00ED05AE"/>
    <w:rsid w:val="00ED4008"/>
    <w:rsid w:val="00ED69DE"/>
    <w:rsid w:val="00ED72B9"/>
    <w:rsid w:val="00EE0B7B"/>
    <w:rsid w:val="00EE582E"/>
    <w:rsid w:val="00EF23D9"/>
    <w:rsid w:val="00EF430D"/>
    <w:rsid w:val="00EF5F29"/>
    <w:rsid w:val="00F02042"/>
    <w:rsid w:val="00F03FA3"/>
    <w:rsid w:val="00F074A0"/>
    <w:rsid w:val="00F0760A"/>
    <w:rsid w:val="00F1233C"/>
    <w:rsid w:val="00F172B2"/>
    <w:rsid w:val="00F17A0D"/>
    <w:rsid w:val="00F25002"/>
    <w:rsid w:val="00F3466C"/>
    <w:rsid w:val="00F35391"/>
    <w:rsid w:val="00F40258"/>
    <w:rsid w:val="00F457E9"/>
    <w:rsid w:val="00F51AEE"/>
    <w:rsid w:val="00F6144B"/>
    <w:rsid w:val="00F71689"/>
    <w:rsid w:val="00F75D01"/>
    <w:rsid w:val="00F861F6"/>
    <w:rsid w:val="00F94735"/>
    <w:rsid w:val="00FA3F07"/>
    <w:rsid w:val="00FB4621"/>
    <w:rsid w:val="00FB7D44"/>
    <w:rsid w:val="00FC2AD4"/>
    <w:rsid w:val="00FD35E5"/>
    <w:rsid w:val="00FE06A2"/>
    <w:rsid w:val="00FE2DA1"/>
    <w:rsid w:val="00FF4950"/>
    <w:rsid w:val="00FF5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82E9C"/>
  <w15:docId w15:val="{1BE2F19C-DB7B-44DD-AD92-51FE6260E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19"/>
      <w:outlineLvl w:val="0"/>
    </w:pPr>
    <w:rPr>
      <w:b/>
      <w:bCs/>
    </w:rPr>
  </w:style>
  <w:style w:type="paragraph" w:styleId="Heading2">
    <w:name w:val="heading 2"/>
    <w:basedOn w:val="Normal"/>
    <w:uiPriority w:val="9"/>
    <w:unhideWhenUsed/>
    <w:qFormat/>
    <w:pPr>
      <w:ind w:left="120"/>
      <w:outlineLvl w:val="1"/>
    </w:pPr>
  </w:style>
  <w:style w:type="paragraph" w:styleId="Heading3">
    <w:name w:val="heading 3"/>
    <w:basedOn w:val="Normal"/>
    <w:uiPriority w:val="9"/>
    <w:unhideWhenUsed/>
    <w:qFormat/>
    <w:pPr>
      <w:ind w:left="224"/>
      <w:outlineLvl w:val="2"/>
    </w:pPr>
    <w:rPr>
      <w:b/>
      <w:bCs/>
      <w:sz w:val="20"/>
      <w:szCs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440" w:hanging="360"/>
    </w:pPr>
  </w:style>
  <w:style w:type="paragraph" w:customStyle="1" w:styleId="TableParagraph">
    <w:name w:val="Table Paragraph"/>
    <w:basedOn w:val="Normal"/>
    <w:uiPriority w:val="1"/>
    <w:qFormat/>
    <w:pPr>
      <w:ind w:left="102"/>
    </w:pPr>
  </w:style>
  <w:style w:type="paragraph" w:styleId="BalloonText">
    <w:name w:val="Balloon Text"/>
    <w:basedOn w:val="Normal"/>
    <w:link w:val="BalloonTextChar"/>
    <w:uiPriority w:val="99"/>
    <w:semiHidden/>
    <w:unhideWhenUsed/>
    <w:rsid w:val="00B75F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FE5"/>
    <w:rPr>
      <w:rFonts w:ascii="Segoe UI" w:eastAsia="Calibri" w:hAnsi="Segoe UI" w:cs="Segoe UI"/>
      <w:sz w:val="18"/>
      <w:szCs w:val="18"/>
    </w:rPr>
  </w:style>
  <w:style w:type="paragraph" w:styleId="Header">
    <w:name w:val="header"/>
    <w:basedOn w:val="Normal"/>
    <w:link w:val="HeaderChar"/>
    <w:uiPriority w:val="99"/>
    <w:unhideWhenUsed/>
    <w:rsid w:val="00C62464"/>
    <w:pPr>
      <w:tabs>
        <w:tab w:val="center" w:pos="4680"/>
        <w:tab w:val="right" w:pos="9360"/>
      </w:tabs>
    </w:pPr>
  </w:style>
  <w:style w:type="character" w:customStyle="1" w:styleId="HeaderChar">
    <w:name w:val="Header Char"/>
    <w:basedOn w:val="DefaultParagraphFont"/>
    <w:link w:val="Header"/>
    <w:uiPriority w:val="99"/>
    <w:rsid w:val="00C62464"/>
    <w:rPr>
      <w:rFonts w:ascii="Calibri" w:eastAsia="Calibri" w:hAnsi="Calibri" w:cs="Calibri"/>
    </w:rPr>
  </w:style>
  <w:style w:type="paragraph" w:styleId="Footer">
    <w:name w:val="footer"/>
    <w:basedOn w:val="Normal"/>
    <w:link w:val="FooterChar"/>
    <w:uiPriority w:val="99"/>
    <w:unhideWhenUsed/>
    <w:rsid w:val="00C62464"/>
    <w:pPr>
      <w:tabs>
        <w:tab w:val="center" w:pos="4680"/>
        <w:tab w:val="right" w:pos="9360"/>
      </w:tabs>
    </w:pPr>
  </w:style>
  <w:style w:type="character" w:customStyle="1" w:styleId="FooterChar">
    <w:name w:val="Footer Char"/>
    <w:basedOn w:val="DefaultParagraphFont"/>
    <w:link w:val="Footer"/>
    <w:uiPriority w:val="99"/>
    <w:rsid w:val="00C62464"/>
    <w:rPr>
      <w:rFonts w:ascii="Calibri" w:eastAsia="Calibri" w:hAnsi="Calibri" w:cs="Calibri"/>
    </w:rPr>
  </w:style>
  <w:style w:type="paragraph" w:customStyle="1" w:styleId="ParagraphReport">
    <w:name w:val="Paragraph Report"/>
    <w:basedOn w:val="Normal"/>
    <w:autoRedefine/>
    <w:rsid w:val="00C83318"/>
    <w:pPr>
      <w:widowControl/>
      <w:autoSpaceDE/>
      <w:autoSpaceDN/>
      <w:spacing w:before="120" w:after="120"/>
    </w:pPr>
    <w:rPr>
      <w:rFonts w:ascii="Book Antiqua" w:eastAsia="Times New Roman" w:hAnsi="Book Antiqua" w:cs="Times New Roman"/>
      <w:b/>
      <w:bCs/>
    </w:rPr>
  </w:style>
  <w:style w:type="character" w:styleId="Hyperlink">
    <w:name w:val="Hyperlink"/>
    <w:basedOn w:val="DefaultParagraphFont"/>
    <w:uiPriority w:val="99"/>
    <w:unhideWhenUsed/>
    <w:rsid w:val="00577A14"/>
    <w:rPr>
      <w:color w:val="0000FF" w:themeColor="hyperlink"/>
      <w:u w:val="single"/>
    </w:rPr>
  </w:style>
  <w:style w:type="character" w:styleId="UnresolvedMention">
    <w:name w:val="Unresolved Mention"/>
    <w:basedOn w:val="DefaultParagraphFont"/>
    <w:uiPriority w:val="99"/>
    <w:semiHidden/>
    <w:unhideWhenUsed/>
    <w:rsid w:val="00577A14"/>
    <w:rPr>
      <w:color w:val="605E5C"/>
      <w:shd w:val="clear" w:color="auto" w:fill="E1DFDD"/>
    </w:rPr>
  </w:style>
  <w:style w:type="character" w:styleId="CommentReference">
    <w:name w:val="annotation reference"/>
    <w:basedOn w:val="DefaultParagraphFont"/>
    <w:uiPriority w:val="99"/>
    <w:semiHidden/>
    <w:unhideWhenUsed/>
    <w:rsid w:val="00D462E1"/>
    <w:rPr>
      <w:sz w:val="16"/>
      <w:szCs w:val="16"/>
    </w:rPr>
  </w:style>
  <w:style w:type="paragraph" w:styleId="CommentText">
    <w:name w:val="annotation text"/>
    <w:basedOn w:val="Normal"/>
    <w:link w:val="CommentTextChar"/>
    <w:uiPriority w:val="99"/>
    <w:semiHidden/>
    <w:unhideWhenUsed/>
    <w:rsid w:val="00D462E1"/>
    <w:rPr>
      <w:sz w:val="20"/>
      <w:szCs w:val="20"/>
    </w:rPr>
  </w:style>
  <w:style w:type="character" w:customStyle="1" w:styleId="CommentTextChar">
    <w:name w:val="Comment Text Char"/>
    <w:basedOn w:val="DefaultParagraphFont"/>
    <w:link w:val="CommentText"/>
    <w:uiPriority w:val="99"/>
    <w:semiHidden/>
    <w:rsid w:val="00D462E1"/>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D462E1"/>
    <w:rPr>
      <w:b/>
      <w:bCs/>
    </w:rPr>
  </w:style>
  <w:style w:type="character" w:customStyle="1" w:styleId="CommentSubjectChar">
    <w:name w:val="Comment Subject Char"/>
    <w:basedOn w:val="CommentTextChar"/>
    <w:link w:val="CommentSubject"/>
    <w:uiPriority w:val="99"/>
    <w:semiHidden/>
    <w:rsid w:val="00D462E1"/>
    <w:rPr>
      <w:rFonts w:ascii="Calibri" w:eastAsia="Calibri" w:hAnsi="Calibri" w:cs="Calibri"/>
      <w:b/>
      <w:bCs/>
      <w:sz w:val="20"/>
      <w:szCs w:val="20"/>
    </w:rPr>
  </w:style>
  <w:style w:type="table" w:styleId="TableGrid">
    <w:name w:val="Table Grid"/>
    <w:basedOn w:val="TableNormal"/>
    <w:uiPriority w:val="39"/>
    <w:rsid w:val="008F6C59"/>
    <w:pPr>
      <w:widowControl/>
      <w:autoSpaceDE/>
      <w:autoSpaceDN/>
    </w:pPr>
    <w:rPr>
      <w:rFonts w:eastAsia="PMingLiU"/>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qualityforum.org/Publications/2010/01/Measurement_Framework__Evaluating_Efficiency_Across_Patient-Focused_Episodes_of_Care.asp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gradeworkinggroup.org/" TargetMode="External"/><Relationship Id="rId17" Type="http://schemas.openxmlformats.org/officeDocument/2006/relationships/hyperlink" Target="http://www.qualityforum.org/Publications/2010/01/Measurement_Framework__Evaluating_Efficiency_Across_Patient-Focused_Episodes_of_Care.aspx" TargetMode="Externa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hyperlink" Target="http://www.healthypeople.gov/20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qualityforum.org/Measuring_Performance/Submitting_Standards.aspx" TargetMode="External"/><Relationship Id="rId5" Type="http://schemas.openxmlformats.org/officeDocument/2006/relationships/styles" Target="styles.xml"/><Relationship Id="rId15" Type="http://schemas.openxmlformats.org/officeDocument/2006/relationships/hyperlink" Target="http://www.qualityforum.org/Publications/2010/01/Measurement_Framework__Evaluating_Efficiency_Across_Patient-Focused_Episodes_of_Care.aspx" TargetMode="External"/><Relationship Id="rId10" Type="http://schemas.openxmlformats.org/officeDocument/2006/relationships/hyperlink" Target="http://www.qualityforum.org/Measuring_Performance/Submitting_Standards.aspx" TargetMode="External"/><Relationship Id="rId19" Type="http://schemas.openxmlformats.org/officeDocument/2006/relationships/hyperlink" Target="http://www.aqaalliance.org/files/PrinciplesofEfficiencyMeasurementApril2006.do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ct Documents" ma:contentTypeID="0x010100D14BCD0F663D8E4194E27DF1F2E21DA10116002D596ACD9A5F2F4987C3F016CE083F63" ma:contentTypeVersion="4" ma:contentTypeDescription="" ma:contentTypeScope="" ma:versionID="0ae4f32f6f8275b64304ab0e82578c62">
  <xsd:schema xmlns:xsd="http://www.w3.org/2001/XMLSchema" xmlns:xs="http://www.w3.org/2001/XMLSchema" xmlns:p="http://schemas.microsoft.com/office/2006/metadata/properties" xmlns:ns2="5f889c01-6895-43f5-8a5e-b173dc02010d" targetNamespace="http://schemas.microsoft.com/office/2006/metadata/properties" ma:root="true" ma:fieldsID="713224fd168679f9231a79e353dab8a0" ns2:_="">
    <xsd:import namespace="5f889c01-6895-43f5-8a5e-b173dc02010d"/>
    <xsd:element name="properties">
      <xsd:complexType>
        <xsd:sequence>
          <xsd:element name="documentManagement">
            <xsd:complexType>
              <xsd:all>
                <xsd:element ref="ns2:Confidential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889c01-6895-43f5-8a5e-b173dc02010d" elementFormDefault="qualified">
    <xsd:import namespace="http://schemas.microsoft.com/office/2006/documentManagement/types"/>
    <xsd:import namespace="http://schemas.microsoft.com/office/infopath/2007/PartnerControls"/>
    <xsd:element name="Confidential1" ma:index="8" nillable="true" ma:displayName="Confidential" ma:default="0" ma:internalName="Confidential1">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fidential1 xmlns="5f889c01-6895-43f5-8a5e-b173dc02010d">false</Confidential1>
  </documentManagement>
</p:properties>
</file>

<file path=customXml/itemProps1.xml><?xml version="1.0" encoding="utf-8"?>
<ds:datastoreItem xmlns:ds="http://schemas.openxmlformats.org/officeDocument/2006/customXml" ds:itemID="{0B168919-3BE5-4CB8-88CF-C33AABA7B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889c01-6895-43f5-8a5e-b173dc020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89894E-F587-4974-98F3-9D7C52562D1E}">
  <ds:schemaRefs>
    <ds:schemaRef ds:uri="http://schemas.microsoft.com/sharepoint/v3/contenttype/forms"/>
  </ds:schemaRefs>
</ds:datastoreItem>
</file>

<file path=customXml/itemProps3.xml><?xml version="1.0" encoding="utf-8"?>
<ds:datastoreItem xmlns:ds="http://schemas.openxmlformats.org/officeDocument/2006/customXml" ds:itemID="{225AC7E1-46B6-42A2-A1CD-A9D60CCAD49A}">
  <ds:schemaRefs>
    <ds:schemaRef ds:uri="http://schemas.microsoft.com/office/2006/metadata/properties"/>
    <ds:schemaRef ds:uri="http://schemas.microsoft.com/office/infopath/2007/PartnerControls"/>
    <ds:schemaRef ds:uri="5f889c01-6895-43f5-8a5e-b173dc02010d"/>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9</Pages>
  <Words>3618</Words>
  <Characters>20625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Evidence Attachement (subcriterion 1a)</vt:lpstr>
    </vt:vector>
  </TitlesOfParts>
  <Company/>
  <LinksUpToDate>false</LinksUpToDate>
  <CharactersWithSpaces>24195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Attachement (subcriterion 1a)</dc:title>
  <dc:subject>evidence form</dc:subject>
  <dc:creator>National Quality Forum</dc:creator>
  <cp:keywords>evidence</cp:keywords>
  <cp:lastModifiedBy>Cooper, Rebecca</cp:lastModifiedBy>
  <cp:revision>153</cp:revision>
  <dcterms:created xsi:type="dcterms:W3CDTF">2020-03-05T21:08:00Z</dcterms:created>
  <dcterms:modified xsi:type="dcterms:W3CDTF">2020-04-08T14:56:00Z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Creator">
    <vt:lpwstr>Acrobat PDFMaker 15 for Word</vt:lpwstr>
  </property>
  <property fmtid="{D5CDD505-2E9C-101B-9397-08002B2CF9AE}" pid="4" name="LastSaved">
    <vt:filetime>2019-08-21T00:00:00Z</vt:filetime>
  </property>
  <property fmtid="{D5CDD505-2E9C-101B-9397-08002B2CF9AE}" pid="5" name="ContentTypeId">
    <vt:lpwstr>0x010100D14BCD0F663D8E4194E27DF1F2E21DA10116002D596ACD9A5F2F4987C3F016CE083F63</vt:lpwstr>
  </property>
</Properties>
</file>